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5F" w:rsidRPr="00A40A05" w:rsidRDefault="00353F7B" w:rsidP="00093F5F">
      <w:pPr>
        <w:pStyle w:val="Fliesstext"/>
        <w:tabs>
          <w:tab w:val="left" w:pos="3686"/>
        </w:tabs>
        <w:spacing w:before="0" w:after="0"/>
        <w:rPr>
          <w:b/>
          <w:noProof/>
          <w:color w:val="0000FF"/>
          <w:sz w:val="32"/>
          <w:szCs w:val="32"/>
          <w:lang w:val="fr-CH"/>
        </w:rPr>
      </w:pPr>
      <w:bookmarkStart w:id="0" w:name="_GoBack"/>
      <w:r>
        <w:rPr>
          <w:b/>
          <w:noProof/>
          <w:color w:val="0000FF"/>
          <w:sz w:val="32"/>
          <w:szCs w:val="32"/>
          <w:lang w:val="fr-CH"/>
        </w:rPr>
        <w:t>Droit de la protection de l’</w:t>
      </w:r>
      <w:r w:rsidR="00A40A05" w:rsidRPr="00A40A05">
        <w:rPr>
          <w:b/>
          <w:noProof/>
          <w:color w:val="0000FF"/>
          <w:sz w:val="32"/>
          <w:szCs w:val="32"/>
          <w:lang w:val="fr-CH"/>
        </w:rPr>
        <w:t>adulte</w:t>
      </w:r>
      <w:r w:rsidR="00DB1FEA" w:rsidRPr="00A40A05">
        <w:rPr>
          <w:b/>
          <w:noProof/>
          <w:color w:val="0000FF"/>
          <w:sz w:val="32"/>
          <w:szCs w:val="32"/>
          <w:lang w:val="fr-CH"/>
        </w:rPr>
        <w:t xml:space="preserve"> (</w:t>
      </w:r>
      <w:r w:rsidR="00A40A05" w:rsidRPr="00A40A05">
        <w:rPr>
          <w:b/>
          <w:noProof/>
          <w:color w:val="0000FF"/>
          <w:sz w:val="32"/>
          <w:szCs w:val="32"/>
          <w:lang w:val="fr-CH"/>
        </w:rPr>
        <w:t>a</w:t>
      </w:r>
      <w:r w:rsidR="00DB1FEA" w:rsidRPr="00A40A05">
        <w:rPr>
          <w:b/>
          <w:noProof/>
          <w:color w:val="0000FF"/>
          <w:sz w:val="32"/>
          <w:szCs w:val="32"/>
          <w:lang w:val="fr-CH"/>
        </w:rPr>
        <w:t xml:space="preserve">rt. 360-456 </w:t>
      </w:r>
      <w:r w:rsidR="00A40A05">
        <w:rPr>
          <w:b/>
          <w:noProof/>
          <w:color w:val="0000FF"/>
          <w:sz w:val="32"/>
          <w:szCs w:val="32"/>
          <w:lang w:val="fr-CH"/>
        </w:rPr>
        <w:t>CC</w:t>
      </w:r>
      <w:r w:rsidR="00DB1FEA" w:rsidRPr="00A40A05">
        <w:rPr>
          <w:b/>
          <w:noProof/>
          <w:color w:val="0000FF"/>
          <w:sz w:val="32"/>
          <w:szCs w:val="32"/>
          <w:lang w:val="fr-CH"/>
        </w:rPr>
        <w:t>)</w:t>
      </w:r>
      <w:r w:rsidR="005216FF" w:rsidRPr="00A40A05">
        <w:rPr>
          <w:b/>
          <w:noProof/>
          <w:color w:val="0000FF"/>
          <w:sz w:val="32"/>
          <w:szCs w:val="32"/>
          <w:lang w:val="fr-CH"/>
        </w:rPr>
        <w:t xml:space="preserve"> </w:t>
      </w:r>
      <w:r w:rsidR="00DB1FEA" w:rsidRPr="00A40A05">
        <w:rPr>
          <w:b/>
          <w:noProof/>
          <w:color w:val="0000FF"/>
          <w:sz w:val="32"/>
          <w:szCs w:val="32"/>
          <w:lang w:val="fr-CH"/>
        </w:rPr>
        <w:br/>
      </w:r>
      <w:bookmarkEnd w:id="0"/>
      <w:r w:rsidR="00A40A05">
        <w:rPr>
          <w:b/>
          <w:noProof/>
          <w:color w:val="0000FF"/>
          <w:sz w:val="32"/>
          <w:szCs w:val="32"/>
          <w:lang w:val="fr-CH"/>
        </w:rPr>
        <w:t>Répertoire par mots clés</w:t>
      </w:r>
    </w:p>
    <w:p w:rsidR="00093F5F" w:rsidRPr="00A40A05" w:rsidRDefault="00093F5F" w:rsidP="00093F5F">
      <w:pPr>
        <w:pStyle w:val="Fliesstext"/>
        <w:tabs>
          <w:tab w:val="left" w:pos="3686"/>
        </w:tabs>
        <w:spacing w:before="0" w:after="0"/>
        <w:rPr>
          <w:b/>
          <w:noProof/>
          <w:color w:val="0000FF"/>
          <w:sz w:val="32"/>
          <w:szCs w:val="32"/>
          <w:lang w:val="fr-CH"/>
        </w:rPr>
      </w:pPr>
    </w:p>
    <w:p w:rsidR="00CB7A18" w:rsidRPr="00A40A05" w:rsidRDefault="00CB7A18" w:rsidP="00093F5F">
      <w:pPr>
        <w:pStyle w:val="Fliesstext"/>
        <w:tabs>
          <w:tab w:val="left" w:pos="3686"/>
        </w:tabs>
        <w:spacing w:before="0" w:after="0"/>
        <w:rPr>
          <w:b/>
          <w:noProof/>
          <w:color w:val="0000FF"/>
          <w:sz w:val="32"/>
          <w:szCs w:val="32"/>
          <w:lang w:val="fr-CH"/>
        </w:rPr>
      </w:pPr>
    </w:p>
    <w:p w:rsidR="00093F5F" w:rsidRPr="00A40A05" w:rsidRDefault="00093F5F" w:rsidP="00093F5F">
      <w:pPr>
        <w:pStyle w:val="Fliesstext"/>
        <w:tabs>
          <w:tab w:val="left" w:pos="3686"/>
        </w:tabs>
        <w:spacing w:before="0" w:after="0"/>
        <w:rPr>
          <w:rFonts w:cs="Arial"/>
          <w:b/>
          <w:color w:val="0000FF"/>
          <w:sz w:val="22"/>
          <w:szCs w:val="22"/>
          <w:lang w:val="fr-CH" w:eastAsia="de-CH"/>
        </w:rPr>
      </w:pPr>
    </w:p>
    <w:p w:rsidR="00FF6D80" w:rsidRPr="00E2494E" w:rsidRDefault="00E2494E" w:rsidP="00093F5F">
      <w:pPr>
        <w:keepNext/>
        <w:shd w:val="clear" w:color="auto" w:fill="FFFF99"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0"/>
        <w:rPr>
          <w:rFonts w:ascii="Arial" w:hAnsi="Arial" w:cs="Arial"/>
          <w:b/>
          <w:color w:val="0000FF"/>
          <w:lang w:val="fr-CH" w:eastAsia="de-CH"/>
        </w:rPr>
      </w:pPr>
      <w:r w:rsidRPr="00E2494E">
        <w:rPr>
          <w:rFonts w:ascii="Arial" w:hAnsi="Arial" w:cs="Arial"/>
          <w:b/>
          <w:color w:val="0000FF"/>
          <w:lang w:val="fr-CH" w:eastAsia="de-CH"/>
        </w:rPr>
        <w:t>M</w:t>
      </w:r>
      <w:r>
        <w:rPr>
          <w:rFonts w:ascii="Arial" w:hAnsi="Arial" w:cs="Arial"/>
          <w:b/>
          <w:color w:val="0000FF"/>
          <w:lang w:val="fr-CH" w:eastAsia="de-CH"/>
        </w:rPr>
        <w:t>esures personnelles anticipées et mesures appliquées de plein droit</w:t>
      </w:r>
    </w:p>
    <w:p w:rsidR="00093F5F" w:rsidRPr="00E2494E" w:rsidRDefault="00093F5F" w:rsidP="00093F5F">
      <w:pPr>
        <w:pStyle w:val="Fliesstext"/>
        <w:tabs>
          <w:tab w:val="left" w:pos="3686"/>
        </w:tabs>
        <w:spacing w:before="0" w:after="0"/>
        <w:rPr>
          <w:rFonts w:cs="Arial"/>
          <w:sz w:val="22"/>
          <w:szCs w:val="22"/>
          <w:lang w:val="fr-CH" w:eastAsia="de-CH"/>
        </w:rPr>
      </w:pPr>
    </w:p>
    <w:p w:rsidR="00093F5F" w:rsidRPr="0006123A" w:rsidRDefault="00E2494E" w:rsidP="00093F5F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7D62E8">
        <w:rPr>
          <w:rFonts w:ascii="Arial" w:hAnsi="Arial" w:cs="Arial"/>
          <w:b/>
          <w:bCs/>
          <w:sz w:val="22"/>
          <w:szCs w:val="22"/>
          <w:lang w:val="fr-CH" w:eastAsia="en-US"/>
        </w:rPr>
        <w:t>Mandat pour cause d’inaptitude</w:t>
      </w:r>
      <w:r w:rsidR="00093F5F" w:rsidRPr="007D62E8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7D62E8">
        <w:rPr>
          <w:rFonts w:ascii="Arial" w:hAnsi="Arial" w:cs="Arial"/>
          <w:iCs/>
          <w:color w:val="0000FF"/>
          <w:sz w:val="22"/>
          <w:szCs w:val="22"/>
          <w:lang w:val="fr-CH" w:eastAsia="de-CH"/>
        </w:rPr>
        <w:t>a</w:t>
      </w:r>
      <w:r w:rsidR="00093F5F" w:rsidRPr="007D62E8">
        <w:rPr>
          <w:rFonts w:ascii="Arial" w:hAnsi="Arial" w:cs="Arial"/>
          <w:iCs/>
          <w:color w:val="0000FF"/>
          <w:sz w:val="22"/>
          <w:szCs w:val="22"/>
          <w:lang w:val="fr-CH" w:eastAsia="de-CH"/>
        </w:rPr>
        <w:t>rt. 360</w:t>
      </w:r>
      <w:r w:rsidRPr="007D62E8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 - a</w:t>
      </w:r>
      <w:r w:rsidR="00093F5F" w:rsidRPr="007D62E8">
        <w:rPr>
          <w:rFonts w:ascii="Arial" w:hAnsi="Arial" w:cs="Arial"/>
          <w:color w:val="0000FF"/>
          <w:sz w:val="22"/>
          <w:szCs w:val="22"/>
          <w:lang w:val="fr-CH" w:eastAsia="de-CH"/>
        </w:rPr>
        <w:t>rt. 369</w:t>
      </w:r>
      <w:r w:rsidR="00093F5F" w:rsidRPr="007D62E8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093F5F" w:rsidRPr="007D62E8">
        <w:rPr>
          <w:rFonts w:ascii="Arial" w:hAnsi="Arial" w:cs="Arial"/>
          <w:sz w:val="22"/>
          <w:szCs w:val="22"/>
          <w:lang w:val="fr-CH" w:eastAsia="de-CH"/>
        </w:rPr>
        <w:br/>
      </w:r>
      <w:r w:rsidR="0006123A">
        <w:rPr>
          <w:rFonts w:ascii="Arial" w:hAnsi="Arial" w:cs="Arial"/>
          <w:sz w:val="22"/>
          <w:szCs w:val="22"/>
          <w:lang w:val="fr-CH" w:eastAsia="de-CH"/>
        </w:rPr>
        <w:t>Désignation</w:t>
      </w:r>
      <w:r w:rsidRPr="007D62E8">
        <w:rPr>
          <w:rFonts w:ascii="Arial" w:hAnsi="Arial" w:cs="Arial"/>
          <w:sz w:val="22"/>
          <w:szCs w:val="22"/>
          <w:lang w:val="fr-CH" w:eastAsia="de-CH"/>
        </w:rPr>
        <w:t xml:space="preserve"> anticipée par la personne elle-même de celui ou celle qui, en cas d’incapacité de discernement, lui fournira assistance perso</w:t>
      </w:r>
      <w:r w:rsidR="007D62E8" w:rsidRPr="007D62E8">
        <w:rPr>
          <w:rFonts w:ascii="Arial" w:hAnsi="Arial" w:cs="Arial"/>
          <w:sz w:val="22"/>
          <w:szCs w:val="22"/>
          <w:lang w:val="fr-CH" w:eastAsia="de-CH"/>
        </w:rPr>
        <w:t>nnelle et/ou</w:t>
      </w:r>
      <w:r w:rsidRPr="007D62E8">
        <w:rPr>
          <w:rFonts w:ascii="Arial" w:hAnsi="Arial" w:cs="Arial"/>
          <w:sz w:val="22"/>
          <w:szCs w:val="22"/>
          <w:lang w:val="fr-CH" w:eastAsia="de-CH"/>
        </w:rPr>
        <w:t xml:space="preserve"> gérera son patrimoine </w:t>
      </w:r>
      <w:r w:rsidR="007D62E8" w:rsidRPr="007D62E8">
        <w:rPr>
          <w:rFonts w:ascii="Arial" w:hAnsi="Arial" w:cs="Arial"/>
          <w:sz w:val="22"/>
          <w:szCs w:val="22"/>
          <w:lang w:val="fr-CH" w:eastAsia="de-CH"/>
        </w:rPr>
        <w:t>et, en lien avec ces tâches,</w:t>
      </w:r>
      <w:r w:rsidRPr="007D62E8">
        <w:rPr>
          <w:rFonts w:ascii="Arial" w:hAnsi="Arial" w:cs="Arial"/>
          <w:sz w:val="22"/>
          <w:szCs w:val="22"/>
          <w:lang w:val="fr-CH" w:eastAsia="de-CH"/>
        </w:rPr>
        <w:t xml:space="preserve"> la représent</w:t>
      </w:r>
      <w:r w:rsidR="007D62E8">
        <w:rPr>
          <w:rFonts w:ascii="Arial" w:hAnsi="Arial" w:cs="Arial"/>
          <w:sz w:val="22"/>
          <w:szCs w:val="22"/>
          <w:lang w:val="fr-CH" w:eastAsia="de-CH"/>
        </w:rPr>
        <w:t>e</w:t>
      </w:r>
      <w:r w:rsidRPr="007D62E8">
        <w:rPr>
          <w:rFonts w:ascii="Arial" w:hAnsi="Arial" w:cs="Arial"/>
          <w:sz w:val="22"/>
          <w:szCs w:val="22"/>
          <w:lang w:val="fr-CH" w:eastAsia="de-CH"/>
        </w:rPr>
        <w:t xml:space="preserve">ra dans </w:t>
      </w:r>
      <w:r w:rsidR="007D62E8" w:rsidRPr="007D62E8">
        <w:rPr>
          <w:rFonts w:ascii="Arial" w:hAnsi="Arial" w:cs="Arial"/>
          <w:sz w:val="22"/>
          <w:szCs w:val="22"/>
          <w:lang w:val="fr-CH" w:eastAsia="de-CH"/>
        </w:rPr>
        <w:t>ses</w:t>
      </w:r>
      <w:r w:rsidRPr="007D62E8">
        <w:rPr>
          <w:rFonts w:ascii="Arial" w:hAnsi="Arial" w:cs="Arial"/>
          <w:sz w:val="22"/>
          <w:szCs w:val="22"/>
          <w:lang w:val="fr-CH" w:eastAsia="de-CH"/>
        </w:rPr>
        <w:t xml:space="preserve"> rapports juridiques avec les tiers et sauvegardera ses intérêts / </w:t>
      </w:r>
      <w:r w:rsidR="007D62E8">
        <w:rPr>
          <w:rFonts w:ascii="Arial" w:hAnsi="Arial" w:cs="Arial"/>
          <w:sz w:val="22"/>
          <w:szCs w:val="22"/>
          <w:lang w:val="fr-CH" w:eastAsia="de-CH"/>
        </w:rPr>
        <w:t>exigences de forme</w:t>
      </w:r>
      <w:r w:rsidR="00093F5F" w:rsidRPr="007D62E8">
        <w:rPr>
          <w:rFonts w:ascii="Arial" w:hAnsi="Arial" w:cs="Arial"/>
          <w:sz w:val="22"/>
          <w:szCs w:val="22"/>
          <w:lang w:val="fr-CH" w:eastAsia="de-CH"/>
        </w:rPr>
        <w:t xml:space="preserve"> (</w:t>
      </w:r>
      <w:r w:rsidR="007D62E8">
        <w:rPr>
          <w:rFonts w:ascii="Arial" w:hAnsi="Arial" w:cs="Arial"/>
          <w:sz w:val="22"/>
          <w:szCs w:val="22"/>
          <w:lang w:val="fr-CH" w:eastAsia="de-CH"/>
        </w:rPr>
        <w:t>olographe ou authentique) /</w:t>
      </w:r>
      <w:r w:rsidR="00093F5F" w:rsidRPr="007D62E8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7D62E8">
        <w:rPr>
          <w:rFonts w:ascii="Arial" w:hAnsi="Arial" w:cs="Arial"/>
          <w:sz w:val="22"/>
          <w:szCs w:val="22"/>
          <w:lang w:val="fr-CH" w:eastAsia="de-CH"/>
        </w:rPr>
        <w:t>possibilité de le faire inscrire</w:t>
      </w:r>
      <w:r w:rsidR="00093F5F" w:rsidRPr="007D62E8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7D62E8">
        <w:rPr>
          <w:rFonts w:ascii="Arial" w:hAnsi="Arial" w:cs="Arial"/>
          <w:sz w:val="22"/>
          <w:szCs w:val="22"/>
          <w:lang w:val="fr-CH" w:eastAsia="de-CH"/>
        </w:rPr>
        <w:t xml:space="preserve">à l’office de l’état civil / </w:t>
      </w:r>
      <w:r w:rsidR="00353F7B">
        <w:rPr>
          <w:rFonts w:ascii="Arial" w:hAnsi="Arial" w:cs="Arial"/>
          <w:sz w:val="22"/>
          <w:szCs w:val="22"/>
          <w:lang w:val="fr-CH" w:eastAsia="de-CH"/>
        </w:rPr>
        <w:t>a</w:t>
      </w:r>
      <w:r w:rsidR="007D62E8">
        <w:rPr>
          <w:rFonts w:ascii="Arial" w:hAnsi="Arial" w:cs="Arial"/>
          <w:sz w:val="22"/>
          <w:szCs w:val="22"/>
          <w:lang w:val="fr-CH" w:eastAsia="de-CH"/>
        </w:rPr>
        <w:t xml:space="preserve">cceptation ou refus du mandat / examen de la validité par l’APEA / exécution selon </w:t>
      </w:r>
      <w:r w:rsidR="0006123A">
        <w:rPr>
          <w:rFonts w:ascii="Arial" w:hAnsi="Arial" w:cs="Arial"/>
          <w:sz w:val="22"/>
          <w:szCs w:val="22"/>
          <w:lang w:val="fr-CH" w:eastAsia="de-CH"/>
        </w:rPr>
        <w:t xml:space="preserve">les règles sur le mandat du CO / rémunération du mandataire / </w:t>
      </w:r>
      <w:r w:rsidR="00353F7B">
        <w:rPr>
          <w:rFonts w:ascii="Arial" w:hAnsi="Arial" w:cs="Arial"/>
          <w:sz w:val="22"/>
          <w:szCs w:val="22"/>
          <w:lang w:val="fr-CH" w:eastAsia="de-CH"/>
        </w:rPr>
        <w:t>résiliation</w:t>
      </w:r>
      <w:r w:rsidR="0006123A">
        <w:rPr>
          <w:rFonts w:ascii="Arial" w:hAnsi="Arial" w:cs="Arial"/>
          <w:sz w:val="22"/>
          <w:szCs w:val="22"/>
          <w:lang w:val="fr-CH" w:eastAsia="de-CH"/>
        </w:rPr>
        <w:t xml:space="preserve"> / intervention de l’APEA si les intérêts de la personne </w:t>
      </w:r>
      <w:r w:rsidR="005F5469">
        <w:rPr>
          <w:rFonts w:ascii="Arial" w:hAnsi="Arial" w:cs="Arial"/>
          <w:sz w:val="22"/>
          <w:szCs w:val="22"/>
          <w:lang w:val="fr-CH" w:eastAsia="de-CH"/>
        </w:rPr>
        <w:t xml:space="preserve">incapable </w:t>
      </w:r>
      <w:r w:rsidR="0006123A">
        <w:rPr>
          <w:rFonts w:ascii="Arial" w:hAnsi="Arial" w:cs="Arial"/>
          <w:sz w:val="22"/>
          <w:szCs w:val="22"/>
          <w:lang w:val="fr-CH" w:eastAsia="de-CH"/>
        </w:rPr>
        <w:t>son</w:t>
      </w:r>
      <w:r w:rsidR="005F5469">
        <w:rPr>
          <w:rFonts w:ascii="Arial" w:hAnsi="Arial" w:cs="Arial"/>
          <w:sz w:val="22"/>
          <w:szCs w:val="22"/>
          <w:lang w:val="fr-CH" w:eastAsia="de-CH"/>
        </w:rPr>
        <w:t>t</w:t>
      </w:r>
      <w:r w:rsidR="0006123A">
        <w:rPr>
          <w:rFonts w:ascii="Arial" w:hAnsi="Arial" w:cs="Arial"/>
          <w:sz w:val="22"/>
          <w:szCs w:val="22"/>
          <w:lang w:val="fr-CH" w:eastAsia="de-CH"/>
        </w:rPr>
        <w:t xml:space="preserve"> compromis ou risquent de l’être. </w:t>
      </w:r>
    </w:p>
    <w:p w:rsidR="00093F5F" w:rsidRPr="0006123A" w:rsidRDefault="0006123A" w:rsidP="00093F5F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06123A">
        <w:rPr>
          <w:rFonts w:ascii="Arial" w:hAnsi="Arial" w:cs="Arial"/>
          <w:b/>
          <w:bCs/>
          <w:sz w:val="22"/>
          <w:szCs w:val="22"/>
          <w:lang w:val="fr-CH" w:eastAsia="en-US"/>
        </w:rPr>
        <w:t>Directives anticipées du patient</w:t>
      </w:r>
      <w:r w:rsidR="00093F5F" w:rsidRPr="0006123A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06123A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06123A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370 - </w:t>
      </w:r>
      <w:r w:rsidRPr="0006123A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06123A">
        <w:rPr>
          <w:rFonts w:ascii="Arial" w:hAnsi="Arial" w:cs="Arial"/>
          <w:color w:val="0000FF"/>
          <w:sz w:val="22"/>
          <w:szCs w:val="22"/>
          <w:lang w:val="fr-CH" w:eastAsia="de-CH"/>
        </w:rPr>
        <w:t>rt. 373</w:t>
      </w:r>
      <w:r w:rsidR="00093F5F" w:rsidRPr="0006123A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093F5F" w:rsidRPr="0006123A">
        <w:rPr>
          <w:rFonts w:ascii="Arial" w:hAnsi="Arial" w:cs="Arial"/>
          <w:sz w:val="22"/>
          <w:szCs w:val="22"/>
          <w:lang w:val="fr-CH" w:eastAsia="de-CH"/>
        </w:rPr>
        <w:br/>
      </w:r>
      <w:r w:rsidRPr="0006123A">
        <w:rPr>
          <w:rFonts w:ascii="Arial" w:hAnsi="Arial" w:cs="Arial"/>
          <w:sz w:val="22"/>
          <w:szCs w:val="22"/>
          <w:lang w:val="fr-CH" w:eastAsia="de-CH"/>
        </w:rPr>
        <w:t>Détermination anticipée par la personne elle-même des traitements médicaux auxquels elle consent ou non, en cas d’incapacité de discernement / possibilité de désigner une personne qui assurera sa représentation dans le domaine médical / exigences de forme (</w:t>
      </w:r>
      <w:r>
        <w:rPr>
          <w:rFonts w:ascii="Arial" w:hAnsi="Arial" w:cs="Arial"/>
          <w:sz w:val="22"/>
          <w:szCs w:val="22"/>
          <w:lang w:val="fr-CH" w:eastAsia="de-CH"/>
        </w:rPr>
        <w:t xml:space="preserve">forme </w:t>
      </w:r>
      <w:r w:rsidRPr="0006123A">
        <w:rPr>
          <w:rFonts w:ascii="Arial" w:hAnsi="Arial" w:cs="Arial"/>
          <w:sz w:val="22"/>
          <w:szCs w:val="22"/>
          <w:lang w:val="fr-CH" w:eastAsia="de-CH"/>
        </w:rPr>
        <w:t xml:space="preserve">écrite) </w:t>
      </w:r>
      <w:r w:rsidR="00093F5F" w:rsidRPr="0006123A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>
        <w:rPr>
          <w:rFonts w:ascii="Arial" w:hAnsi="Arial" w:cs="Arial"/>
          <w:sz w:val="22"/>
          <w:szCs w:val="22"/>
          <w:lang w:val="fr-CH" w:eastAsia="de-CH"/>
        </w:rPr>
        <w:t xml:space="preserve">possibilité de </w:t>
      </w:r>
      <w:r w:rsidR="005F5469">
        <w:rPr>
          <w:rFonts w:ascii="Arial" w:hAnsi="Arial" w:cs="Arial"/>
          <w:sz w:val="22"/>
          <w:szCs w:val="22"/>
          <w:lang w:val="fr-CH" w:eastAsia="de-CH"/>
        </w:rPr>
        <w:t>le</w:t>
      </w:r>
      <w:r w:rsidR="00353F7B">
        <w:rPr>
          <w:rFonts w:ascii="Arial" w:hAnsi="Arial" w:cs="Arial"/>
          <w:sz w:val="22"/>
          <w:szCs w:val="22"/>
          <w:lang w:val="fr-CH" w:eastAsia="de-CH"/>
        </w:rPr>
        <w:t>s</w:t>
      </w:r>
      <w:r w:rsidR="005F5469">
        <w:rPr>
          <w:rFonts w:ascii="Arial" w:hAnsi="Arial" w:cs="Arial"/>
          <w:sz w:val="22"/>
          <w:szCs w:val="22"/>
          <w:lang w:val="fr-CH" w:eastAsia="de-CH"/>
        </w:rPr>
        <w:t xml:space="preserve"> faire inscrire sur la carte d’assuré / intervention de l’APEA si les intérêts de la personne incapable sont compromis ou risquent de l’être.</w:t>
      </w:r>
      <w:r w:rsidR="005F5469" w:rsidRPr="0006123A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093F5F" w:rsidRPr="00D27E9A" w:rsidRDefault="005F5469" w:rsidP="00093F5F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D27E9A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Représentation de plein droit par le conjoint/partenaire enregistré </w:t>
      </w:r>
      <w:r w:rsidRPr="00D27E9A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D27E9A">
        <w:rPr>
          <w:rFonts w:ascii="Arial" w:hAnsi="Arial" w:cs="Arial"/>
          <w:color w:val="0000FF"/>
          <w:sz w:val="22"/>
          <w:szCs w:val="22"/>
          <w:lang w:val="fr-CH" w:eastAsia="de-CH"/>
        </w:rPr>
        <w:t>rt. 374 -</w:t>
      </w:r>
      <w:r w:rsidR="00D27E9A" w:rsidRPr="00D27E9A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 </w:t>
      </w:r>
      <w:r w:rsidRPr="00D27E9A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D27E9A">
        <w:rPr>
          <w:rFonts w:ascii="Arial" w:hAnsi="Arial" w:cs="Arial"/>
          <w:color w:val="0000FF"/>
          <w:sz w:val="22"/>
          <w:szCs w:val="22"/>
          <w:lang w:val="fr-CH" w:eastAsia="de-CH"/>
        </w:rPr>
        <w:t>rt. 376</w:t>
      </w:r>
      <w:r w:rsidR="00093F5F" w:rsidRPr="00D27E9A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Pr="00D27E9A">
        <w:rPr>
          <w:rFonts w:ascii="Arial" w:hAnsi="Arial" w:cs="Arial"/>
          <w:sz w:val="22"/>
          <w:szCs w:val="22"/>
          <w:lang w:val="fr-CH" w:eastAsia="de-CH"/>
        </w:rPr>
        <w:br/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>Le conjoint durablement incapable de discernement peut</w:t>
      </w:r>
      <w:r w:rsidR="00353F7B">
        <w:rPr>
          <w:rFonts w:ascii="Arial" w:hAnsi="Arial" w:cs="Arial"/>
          <w:sz w:val="22"/>
          <w:szCs w:val="22"/>
          <w:lang w:val="fr-CH" w:eastAsia="de-CH"/>
        </w:rPr>
        <w:t>,</w:t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 xml:space="preserve"> dans un</w:t>
      </w:r>
      <w:r w:rsidR="00353F7B">
        <w:rPr>
          <w:rFonts w:ascii="Arial" w:hAnsi="Arial" w:cs="Arial"/>
          <w:sz w:val="22"/>
          <w:szCs w:val="22"/>
          <w:lang w:val="fr-CH" w:eastAsia="de-CH"/>
        </w:rPr>
        <w:t>e</w:t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 xml:space="preserve"> ce</w:t>
      </w:r>
      <w:r w:rsidR="00D27E9A">
        <w:rPr>
          <w:rFonts w:ascii="Arial" w:hAnsi="Arial" w:cs="Arial"/>
          <w:sz w:val="22"/>
          <w:szCs w:val="22"/>
          <w:lang w:val="fr-CH" w:eastAsia="de-CH"/>
        </w:rPr>
        <w:t>r</w:t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 xml:space="preserve">taine mesure et pour </w:t>
      </w:r>
      <w:r w:rsidR="00D27E9A">
        <w:rPr>
          <w:rFonts w:ascii="Arial" w:hAnsi="Arial" w:cs="Arial"/>
          <w:sz w:val="22"/>
          <w:szCs w:val="22"/>
          <w:lang w:val="fr-CH" w:eastAsia="de-CH"/>
        </w:rPr>
        <w:t>certains actes juridiques</w:t>
      </w:r>
      <w:r w:rsidR="00353F7B">
        <w:rPr>
          <w:rFonts w:ascii="Arial" w:hAnsi="Arial" w:cs="Arial"/>
          <w:sz w:val="22"/>
          <w:szCs w:val="22"/>
          <w:lang w:val="fr-CH" w:eastAsia="de-CH"/>
        </w:rPr>
        <w:t>,</w:t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 xml:space="preserve"> être représenté par le </w:t>
      </w:r>
      <w:r w:rsidR="006C37BB" w:rsidRPr="00D27E9A">
        <w:rPr>
          <w:rFonts w:ascii="Arial" w:hAnsi="Arial" w:cs="Arial"/>
          <w:sz w:val="22"/>
          <w:szCs w:val="22"/>
          <w:lang w:val="fr-CH" w:eastAsia="de-CH"/>
        </w:rPr>
        <w:t>conjoint</w:t>
      </w:r>
      <w:r w:rsidR="00D27E9A" w:rsidRPr="00D27E9A">
        <w:rPr>
          <w:rFonts w:ascii="Arial" w:hAnsi="Arial" w:cs="Arial"/>
          <w:sz w:val="22"/>
          <w:szCs w:val="22"/>
          <w:lang w:val="fr-CH" w:eastAsia="de-CH"/>
        </w:rPr>
        <w:t xml:space="preserve"> capable</w:t>
      </w:r>
      <w:r w:rsidR="00D27E9A">
        <w:rPr>
          <w:rFonts w:ascii="Arial" w:hAnsi="Arial" w:cs="Arial"/>
          <w:sz w:val="22"/>
          <w:szCs w:val="22"/>
          <w:lang w:val="fr-CH" w:eastAsia="de-CH"/>
        </w:rPr>
        <w:t xml:space="preserve"> / le concours de l’APEA est nécessaire pour les actes qui outrepassent la gestion ordinaire / intervention de l’APEA si les intérêts du conjoint incapable sont compromis </w:t>
      </w:r>
      <w:r w:rsidR="00093F5F" w:rsidRPr="00D27E9A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D27E9A">
        <w:rPr>
          <w:rFonts w:ascii="Arial" w:hAnsi="Arial" w:cs="Arial"/>
          <w:sz w:val="22"/>
          <w:szCs w:val="22"/>
          <w:lang w:val="fr-CH" w:eastAsia="de-CH"/>
        </w:rPr>
        <w:t>la réglementation vaut également pour le partenariat enregistré.</w:t>
      </w:r>
    </w:p>
    <w:p w:rsidR="00093F5F" w:rsidRPr="006C37BB" w:rsidRDefault="00FE209E" w:rsidP="00093F5F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hAnsi="Arial" w:cs="Arial"/>
          <w:b/>
          <w:bCs/>
          <w:sz w:val="22"/>
          <w:szCs w:val="22"/>
          <w:lang w:val="fr-CH" w:eastAsia="en-US"/>
        </w:rPr>
        <w:t>R</w:t>
      </w:r>
      <w:r w:rsidR="00D27E9A" w:rsidRPr="006C37BB">
        <w:rPr>
          <w:rFonts w:ascii="Arial" w:hAnsi="Arial" w:cs="Arial"/>
          <w:b/>
          <w:bCs/>
          <w:sz w:val="22"/>
          <w:szCs w:val="22"/>
          <w:lang w:val="fr-CH" w:eastAsia="en-US"/>
        </w:rPr>
        <w:t>eprésentation de plein droit dans le domaine médical</w:t>
      </w:r>
      <w:r w:rsidR="00093F5F" w:rsidRPr="006C37BB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="00D27E9A" w:rsidRPr="006C37BB">
        <w:rPr>
          <w:rFonts w:ascii="Arial" w:hAnsi="Arial" w:cs="Arial"/>
          <w:color w:val="0000FF"/>
          <w:sz w:val="22"/>
          <w:szCs w:val="22"/>
          <w:lang w:val="fr-CH" w:eastAsia="de-CH"/>
        </w:rPr>
        <w:t>art. 377 - art</w:t>
      </w:r>
      <w:r w:rsidR="00093F5F" w:rsidRPr="006C37BB">
        <w:rPr>
          <w:rFonts w:ascii="Arial" w:hAnsi="Arial" w:cs="Arial"/>
          <w:color w:val="0000FF"/>
          <w:sz w:val="22"/>
          <w:szCs w:val="22"/>
          <w:lang w:val="fr-CH" w:eastAsia="de-CH"/>
        </w:rPr>
        <w:t>. 381</w:t>
      </w:r>
      <w:r w:rsidR="00093F5F" w:rsidRPr="006C37BB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>
        <w:rPr>
          <w:rFonts w:ascii="Arial" w:hAnsi="Arial" w:cs="Arial"/>
          <w:sz w:val="22"/>
          <w:szCs w:val="22"/>
          <w:lang w:val="fr-CH" w:eastAsia="de-CH"/>
        </w:rPr>
        <w:br/>
      </w:r>
      <w:r w:rsidR="001F7B3D">
        <w:rPr>
          <w:rFonts w:ascii="Arial" w:hAnsi="Arial" w:cs="Arial"/>
          <w:sz w:val="22"/>
          <w:szCs w:val="22"/>
          <w:lang w:val="fr-CH" w:eastAsia="de-CH"/>
        </w:rPr>
        <w:t>R</w:t>
      </w:r>
      <w:r w:rsidR="00D27E9A" w:rsidRPr="006C37BB">
        <w:rPr>
          <w:rFonts w:ascii="Arial" w:hAnsi="Arial" w:cs="Arial"/>
          <w:sz w:val="22"/>
          <w:szCs w:val="22"/>
          <w:lang w:val="fr-CH" w:eastAsia="de-CH"/>
        </w:rPr>
        <w:t xml:space="preserve">eprésentation de la personne incapable de discernement </w:t>
      </w:r>
      <w:r w:rsidR="006C37BB" w:rsidRPr="006C37BB">
        <w:rPr>
          <w:rFonts w:ascii="Arial" w:hAnsi="Arial" w:cs="Arial"/>
          <w:sz w:val="22"/>
          <w:szCs w:val="22"/>
          <w:lang w:val="fr-CH" w:eastAsia="de-CH"/>
        </w:rPr>
        <w:t xml:space="preserve">dans le domaine médical par certains proches parents </w:t>
      </w:r>
      <w:r w:rsidR="00093F5F" w:rsidRPr="006C37BB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6C37BB" w:rsidRPr="006C37BB">
        <w:rPr>
          <w:rFonts w:ascii="Arial" w:hAnsi="Arial" w:cs="Arial"/>
          <w:sz w:val="22"/>
          <w:szCs w:val="22"/>
          <w:lang w:val="fr-CH" w:eastAsia="de-CH"/>
        </w:rPr>
        <w:t xml:space="preserve">représentation </w:t>
      </w:r>
      <w:r w:rsidR="006C37BB">
        <w:rPr>
          <w:rFonts w:ascii="Arial" w:hAnsi="Arial" w:cs="Arial"/>
          <w:sz w:val="22"/>
          <w:szCs w:val="22"/>
          <w:lang w:val="fr-CH" w:eastAsia="de-CH"/>
        </w:rPr>
        <w:t>en cascade, selon un ordre donné</w:t>
      </w:r>
      <w:r w:rsidR="006C37BB" w:rsidRPr="006C37BB">
        <w:rPr>
          <w:rFonts w:ascii="Arial" w:hAnsi="Arial" w:cs="Arial"/>
          <w:sz w:val="22"/>
          <w:szCs w:val="22"/>
          <w:lang w:val="fr-CH" w:eastAsia="de-CH"/>
        </w:rPr>
        <w:t xml:space="preserve"> / approbation du plan de traitement </w:t>
      </w:r>
      <w:r w:rsidR="00353F7B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6C37BB" w:rsidRPr="006C37BB">
        <w:rPr>
          <w:rFonts w:ascii="Arial" w:hAnsi="Arial" w:cs="Arial"/>
          <w:sz w:val="22"/>
          <w:szCs w:val="22"/>
          <w:lang w:val="fr-CH" w:eastAsia="de-CH"/>
        </w:rPr>
        <w:t xml:space="preserve">en cas d’urgence, intervention selon la volonté présumée du patient / </w:t>
      </w:r>
      <w:r w:rsidR="006C37BB">
        <w:rPr>
          <w:rFonts w:ascii="Arial" w:hAnsi="Arial" w:cs="Arial"/>
          <w:sz w:val="22"/>
          <w:szCs w:val="22"/>
          <w:lang w:val="fr-CH" w:eastAsia="de-CH"/>
        </w:rPr>
        <w:t>intervention de l’APEA si les intérêts de la personne incapable sont compromis</w:t>
      </w:r>
      <w:r w:rsidR="00353F7B">
        <w:rPr>
          <w:rFonts w:ascii="Arial" w:hAnsi="Arial" w:cs="Arial"/>
          <w:sz w:val="22"/>
          <w:szCs w:val="22"/>
          <w:lang w:val="fr-CH" w:eastAsia="de-CH"/>
        </w:rPr>
        <w:t>.</w:t>
      </w:r>
      <w:r w:rsidR="006C37BB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093F5F" w:rsidRPr="001F7B3D" w:rsidRDefault="001F7B3D" w:rsidP="00093F5F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1F7B3D">
        <w:rPr>
          <w:rFonts w:ascii="Arial" w:hAnsi="Arial" w:cs="Arial"/>
          <w:b/>
          <w:bCs/>
          <w:sz w:val="22"/>
          <w:szCs w:val="22"/>
          <w:lang w:val="fr-CH" w:eastAsia="en-US"/>
        </w:rPr>
        <w:t>Protection des personnes résidant dans un établissement médico-social</w:t>
      </w:r>
      <w:r w:rsidR="00093F5F" w:rsidRPr="001F7B3D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1F7B3D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1F7B3D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382 - </w:t>
      </w:r>
      <w:r w:rsidRPr="001F7B3D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093F5F" w:rsidRPr="001F7B3D">
        <w:rPr>
          <w:rFonts w:ascii="Arial" w:hAnsi="Arial" w:cs="Arial"/>
          <w:color w:val="0000FF"/>
          <w:sz w:val="22"/>
          <w:szCs w:val="22"/>
          <w:lang w:val="fr-CH" w:eastAsia="de-CH"/>
        </w:rPr>
        <w:t>rt. 387</w:t>
      </w:r>
      <w:r w:rsidR="00093F5F" w:rsidRPr="001F7B3D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Pr="001F7B3D">
        <w:rPr>
          <w:rFonts w:ascii="Arial" w:hAnsi="Arial" w:cs="Arial"/>
          <w:sz w:val="22"/>
          <w:szCs w:val="22"/>
          <w:lang w:val="fr-CH" w:eastAsia="de-CH"/>
        </w:rPr>
        <w:br/>
        <w:t>Dispositions destinées à la protection de personnes incapables de discernement résidant en home / obligation de conc</w:t>
      </w:r>
      <w:r w:rsidR="00353F7B">
        <w:rPr>
          <w:rFonts w:ascii="Arial" w:hAnsi="Arial" w:cs="Arial"/>
          <w:sz w:val="22"/>
          <w:szCs w:val="22"/>
          <w:lang w:val="fr-CH" w:eastAsia="de-CH"/>
        </w:rPr>
        <w:t>lure un contrat d’assistance / r</w:t>
      </w:r>
      <w:r w:rsidRPr="001F7B3D">
        <w:rPr>
          <w:rFonts w:ascii="Arial" w:hAnsi="Arial" w:cs="Arial"/>
          <w:sz w:val="22"/>
          <w:szCs w:val="22"/>
          <w:lang w:val="fr-CH" w:eastAsia="de-CH"/>
        </w:rPr>
        <w:t xml:space="preserve">èglement de la représentation / conditions et procédure lors de mesures limitant la liberté de mouvement / protection de la personnalité / </w:t>
      </w:r>
      <w:r>
        <w:rPr>
          <w:rFonts w:ascii="Arial" w:hAnsi="Arial" w:cs="Arial"/>
          <w:sz w:val="22"/>
          <w:szCs w:val="22"/>
          <w:lang w:val="fr-CH" w:eastAsia="de-CH"/>
        </w:rPr>
        <w:t>intervention de l’APEA si les intérêts de la personne incapable sont compromis / surveillance par les cantons des institutions accueillant des personnes incapables de discernement</w:t>
      </w:r>
      <w:r w:rsidR="00353F7B">
        <w:rPr>
          <w:rFonts w:ascii="Arial" w:hAnsi="Arial" w:cs="Arial"/>
          <w:sz w:val="22"/>
          <w:szCs w:val="22"/>
          <w:lang w:val="fr-CH" w:eastAsia="de-CH"/>
        </w:rPr>
        <w:t>.</w:t>
      </w:r>
      <w:r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093F5F" w:rsidRPr="001F7B3D" w:rsidRDefault="00093F5F" w:rsidP="00093F5F">
      <w:pPr>
        <w:pStyle w:val="Fliesstext"/>
        <w:tabs>
          <w:tab w:val="left" w:pos="3686"/>
        </w:tabs>
        <w:spacing w:before="0" w:after="0"/>
        <w:rPr>
          <w:rFonts w:cs="Arial"/>
          <w:sz w:val="22"/>
          <w:szCs w:val="22"/>
          <w:lang w:val="fr-CH" w:eastAsia="de-CH"/>
        </w:rPr>
      </w:pPr>
    </w:p>
    <w:p w:rsidR="00093F5F" w:rsidRDefault="00093F5F" w:rsidP="00093F5F">
      <w:pPr>
        <w:pStyle w:val="Fliesstext"/>
        <w:tabs>
          <w:tab w:val="left" w:pos="3686"/>
        </w:tabs>
        <w:spacing w:before="0" w:after="0"/>
        <w:rPr>
          <w:noProof/>
          <w:sz w:val="22"/>
          <w:szCs w:val="22"/>
          <w:lang w:val="fr-CH"/>
        </w:rPr>
      </w:pPr>
    </w:p>
    <w:p w:rsidR="001F7B3D" w:rsidRDefault="001F7B3D" w:rsidP="00093F5F">
      <w:pPr>
        <w:pStyle w:val="Fliesstext"/>
        <w:tabs>
          <w:tab w:val="left" w:pos="3686"/>
        </w:tabs>
        <w:spacing w:before="0" w:after="0"/>
        <w:rPr>
          <w:noProof/>
          <w:sz w:val="22"/>
          <w:szCs w:val="22"/>
          <w:lang w:val="fr-CH"/>
        </w:rPr>
      </w:pPr>
    </w:p>
    <w:p w:rsidR="001F7B3D" w:rsidRPr="001F7B3D" w:rsidRDefault="001F7B3D" w:rsidP="00093F5F">
      <w:pPr>
        <w:pStyle w:val="Fliesstext"/>
        <w:tabs>
          <w:tab w:val="left" w:pos="3686"/>
        </w:tabs>
        <w:spacing w:before="0" w:after="0"/>
        <w:rPr>
          <w:noProof/>
          <w:sz w:val="22"/>
          <w:szCs w:val="22"/>
          <w:lang w:val="fr-CH"/>
        </w:rPr>
      </w:pPr>
    </w:p>
    <w:p w:rsidR="00ED437E" w:rsidRPr="00FE209E" w:rsidRDefault="00E56B23" w:rsidP="00DB1FEA">
      <w:pPr>
        <w:keepNext/>
        <w:shd w:val="clear" w:color="auto" w:fill="FFFF99"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0"/>
        <w:rPr>
          <w:rFonts w:ascii="Arial" w:hAnsi="Arial" w:cs="Arial"/>
          <w:b/>
          <w:color w:val="0000FF"/>
          <w:lang w:val="fr-CH" w:eastAsia="de-CH"/>
        </w:rPr>
      </w:pPr>
      <w:r w:rsidRPr="00FE209E">
        <w:rPr>
          <w:rFonts w:ascii="Arial" w:hAnsi="Arial" w:cs="Arial"/>
          <w:b/>
          <w:color w:val="0000FF"/>
          <w:lang w:val="fr-CH" w:eastAsia="de-CH"/>
        </w:rPr>
        <w:lastRenderedPageBreak/>
        <w:t>Les mesures prises par l’autorité</w:t>
      </w:r>
    </w:p>
    <w:p w:rsidR="00ED437E" w:rsidRPr="00E56B23" w:rsidRDefault="00CB7A18" w:rsidP="00241DC8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sz w:val="22"/>
          <w:szCs w:val="22"/>
          <w:lang w:val="fr-CH" w:eastAsia="de-CH"/>
        </w:rPr>
      </w:pPr>
      <w:r w:rsidRPr="00E56B23">
        <w:rPr>
          <w:rFonts w:ascii="Arial" w:hAnsi="Arial" w:cs="Arial"/>
          <w:b/>
          <w:sz w:val="22"/>
          <w:szCs w:val="22"/>
          <w:lang w:val="fr-CH" w:eastAsia="de-CH"/>
        </w:rPr>
        <w:br/>
      </w:r>
      <w:r w:rsidR="00E56B23" w:rsidRPr="00E56B23">
        <w:rPr>
          <w:rFonts w:ascii="Arial" w:hAnsi="Arial" w:cs="Arial"/>
          <w:b/>
          <w:sz w:val="22"/>
          <w:szCs w:val="22"/>
          <w:u w:val="single"/>
          <w:lang w:val="fr-CH" w:eastAsia="de-CH"/>
        </w:rPr>
        <w:t>Principes généraux</w:t>
      </w:r>
      <w:r w:rsidR="00241DC8" w:rsidRPr="00E56B23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="00E56B23" w:rsidRPr="00E56B23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E56B23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388 – </w:t>
      </w:r>
      <w:r w:rsidR="00E56B23" w:rsidRPr="00E56B23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E56B23">
        <w:rPr>
          <w:rFonts w:ascii="Arial" w:hAnsi="Arial" w:cs="Arial"/>
          <w:color w:val="0000FF"/>
          <w:sz w:val="22"/>
          <w:szCs w:val="22"/>
          <w:lang w:val="fr-CH" w:eastAsia="de-CH"/>
        </w:rPr>
        <w:t>rt. 389</w:t>
      </w:r>
      <w:r w:rsidR="00ED437E" w:rsidRPr="00E56B23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241DC8" w:rsidRPr="00E56B23">
        <w:rPr>
          <w:rFonts w:ascii="Arial" w:hAnsi="Arial" w:cs="Arial"/>
          <w:sz w:val="22"/>
          <w:szCs w:val="22"/>
          <w:lang w:val="fr-CH" w:eastAsia="de-CH"/>
        </w:rPr>
        <w:br/>
      </w:r>
      <w:r w:rsidR="00E56B23" w:rsidRPr="00E56B23">
        <w:rPr>
          <w:rFonts w:ascii="Arial" w:hAnsi="Arial" w:cs="Arial"/>
          <w:sz w:val="22"/>
          <w:szCs w:val="22"/>
          <w:lang w:val="fr-CH" w:eastAsia="de-CH"/>
        </w:rPr>
        <w:t>Garantir l’assistance et la protection de la personne qui a besoin d’aide / maintenir autant que possible son autonomie / principe de la subsidiarité / primauté des mesures personnelles anticipées / principe de la proportionnalité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8E1E34" w:rsidRPr="00E56B23" w:rsidRDefault="008E1E34" w:rsidP="00DB1FEA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b/>
          <w:sz w:val="22"/>
          <w:szCs w:val="22"/>
          <w:lang w:val="fr-CH" w:eastAsia="de-CH"/>
        </w:rPr>
      </w:pPr>
    </w:p>
    <w:p w:rsidR="00ED437E" w:rsidRPr="00FE209E" w:rsidRDefault="00E56B23" w:rsidP="00DB1FEA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b/>
          <w:sz w:val="22"/>
          <w:szCs w:val="22"/>
          <w:u w:val="single"/>
          <w:lang w:val="fr-CH" w:eastAsia="de-CH"/>
        </w:rPr>
      </w:pPr>
      <w:r w:rsidRPr="00FE209E">
        <w:rPr>
          <w:rFonts w:ascii="Arial" w:hAnsi="Arial" w:cs="Arial"/>
          <w:b/>
          <w:sz w:val="22"/>
          <w:szCs w:val="22"/>
          <w:u w:val="single"/>
          <w:lang w:val="fr-CH" w:eastAsia="de-CH"/>
        </w:rPr>
        <w:t>Curatelles</w:t>
      </w:r>
    </w:p>
    <w:p w:rsidR="00ED437E" w:rsidRPr="007D4E89" w:rsidRDefault="00E56B23" w:rsidP="008E1E34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7D4E89">
        <w:rPr>
          <w:rFonts w:ascii="Arial" w:hAnsi="Arial" w:cs="Arial"/>
          <w:b/>
          <w:bCs/>
          <w:sz w:val="22"/>
          <w:szCs w:val="22"/>
          <w:lang w:val="fr-CH" w:eastAsia="en-US"/>
        </w:rPr>
        <w:t>Dispositions générales</w:t>
      </w:r>
      <w:r w:rsidR="008E1E34" w:rsidRPr="007D4E89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7D4E89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7D4E89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390 – </w:t>
      </w:r>
      <w:r w:rsidRPr="007D4E89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7D4E89">
        <w:rPr>
          <w:rFonts w:ascii="Arial" w:hAnsi="Arial" w:cs="Arial"/>
          <w:color w:val="0000FF"/>
          <w:sz w:val="22"/>
          <w:szCs w:val="22"/>
          <w:lang w:val="fr-CH" w:eastAsia="de-CH"/>
        </w:rPr>
        <w:t>rt. 392</w:t>
      </w:r>
      <w:r w:rsidR="00ED437E" w:rsidRPr="007D4E89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E1E34" w:rsidRPr="007D4E89">
        <w:rPr>
          <w:rFonts w:ascii="Arial" w:hAnsi="Arial" w:cs="Arial"/>
          <w:sz w:val="22"/>
          <w:szCs w:val="22"/>
          <w:lang w:val="fr-CH" w:eastAsia="de-CH"/>
        </w:rPr>
        <w:br/>
      </w:r>
      <w:r w:rsidRPr="007D4E89">
        <w:rPr>
          <w:rFonts w:ascii="Arial" w:hAnsi="Arial" w:cs="Arial"/>
          <w:sz w:val="22"/>
          <w:szCs w:val="22"/>
          <w:lang w:val="fr-CH" w:eastAsia="de-CH"/>
        </w:rPr>
        <w:t xml:space="preserve">Conditions pour l’institution d’une curatelle (état de faiblesse – incapacité </w:t>
      </w:r>
      <w:r w:rsidR="007D4E89" w:rsidRPr="007D4E89">
        <w:rPr>
          <w:rFonts w:ascii="Arial" w:hAnsi="Arial" w:cs="Arial"/>
          <w:sz w:val="22"/>
          <w:szCs w:val="22"/>
          <w:lang w:val="fr-CH" w:eastAsia="de-CH"/>
        </w:rPr>
        <w:t>d’assurer la sauvegarde de ses intérêts) / instauration par l’APEA à la requête de la personne ou d’un proche ou d’office / détermination des tâches ou domaines de tâches par l’APEA</w:t>
      </w:r>
      <w:r w:rsidR="00ED437E" w:rsidRPr="007D4E89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7D4E89" w:rsidRPr="007D4E89">
        <w:rPr>
          <w:rFonts w:ascii="Arial" w:hAnsi="Arial" w:cs="Arial"/>
          <w:sz w:val="22"/>
          <w:szCs w:val="22"/>
          <w:lang w:val="fr-CH" w:eastAsia="de-CH"/>
        </w:rPr>
        <w:t>/ calibrage de la mesure par l’APEA / autorisation de l’APEA pour prendre connaissance de la correspondance et pénétrer da</w:t>
      </w:r>
      <w:r w:rsidR="007D4E89">
        <w:rPr>
          <w:rFonts w:ascii="Arial" w:hAnsi="Arial" w:cs="Arial"/>
          <w:sz w:val="22"/>
          <w:szCs w:val="22"/>
          <w:lang w:val="fr-CH" w:eastAsia="de-CH"/>
        </w:rPr>
        <w:t>ns</w:t>
      </w:r>
      <w:r w:rsidR="007D4E89" w:rsidRPr="007D4E89">
        <w:rPr>
          <w:rFonts w:ascii="Arial" w:hAnsi="Arial" w:cs="Arial"/>
          <w:sz w:val="22"/>
          <w:szCs w:val="22"/>
          <w:lang w:val="fr-CH" w:eastAsia="de-CH"/>
        </w:rPr>
        <w:t xml:space="preserve"> le logement / </w:t>
      </w:r>
      <w:r w:rsidR="007D4E89">
        <w:rPr>
          <w:rFonts w:ascii="Arial" w:hAnsi="Arial" w:cs="Arial"/>
          <w:sz w:val="22"/>
          <w:szCs w:val="22"/>
          <w:lang w:val="fr-CH" w:eastAsia="de-CH"/>
        </w:rPr>
        <w:t>l’APEA agit elle-même lorsque la curatelle serait manifestement disproportionnée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8732B8" w:rsidRDefault="007D4E89" w:rsidP="008E1E34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8732B8">
        <w:rPr>
          <w:rFonts w:ascii="Arial" w:hAnsi="Arial" w:cs="Arial"/>
          <w:b/>
          <w:bCs/>
          <w:sz w:val="22"/>
          <w:szCs w:val="22"/>
          <w:lang w:val="fr-CH" w:eastAsia="en-US"/>
        </w:rPr>
        <w:t>Les sortes de curatelles</w:t>
      </w:r>
      <w:r w:rsidR="008732B8" w:rsidRPr="008732B8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8732B8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8732B8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393 – </w:t>
      </w:r>
      <w:r w:rsidRPr="008732B8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8732B8">
        <w:rPr>
          <w:rFonts w:ascii="Arial" w:hAnsi="Arial" w:cs="Arial"/>
          <w:color w:val="0000FF"/>
          <w:sz w:val="22"/>
          <w:szCs w:val="22"/>
          <w:lang w:val="fr-CH" w:eastAsia="de-CH"/>
        </w:rPr>
        <w:t>rt. 398</w:t>
      </w:r>
      <w:r w:rsidR="00ED437E" w:rsidRPr="008732B8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E1E34" w:rsidRPr="008732B8">
        <w:rPr>
          <w:rFonts w:ascii="Arial" w:hAnsi="Arial" w:cs="Arial"/>
          <w:sz w:val="22"/>
          <w:szCs w:val="22"/>
          <w:lang w:val="fr-CH" w:eastAsia="de-CH"/>
        </w:rPr>
        <w:br/>
      </w:r>
      <w:r w:rsidR="008732B8" w:rsidRPr="008732B8">
        <w:rPr>
          <w:rFonts w:ascii="Arial" w:hAnsi="Arial" w:cs="Arial"/>
          <w:sz w:val="22"/>
          <w:szCs w:val="22"/>
          <w:lang w:val="fr-CH" w:eastAsia="de-CH"/>
        </w:rPr>
        <w:t>Curatelle d</w:t>
      </w:r>
      <w:r w:rsidR="004C22A6">
        <w:rPr>
          <w:rFonts w:ascii="Arial" w:hAnsi="Arial" w:cs="Arial"/>
          <w:sz w:val="22"/>
          <w:szCs w:val="22"/>
          <w:lang w:val="fr-CH" w:eastAsia="de-CH"/>
        </w:rPr>
        <w:t>’</w:t>
      </w:r>
      <w:r w:rsidR="008732B8" w:rsidRPr="008732B8">
        <w:rPr>
          <w:rFonts w:ascii="Arial" w:hAnsi="Arial" w:cs="Arial"/>
          <w:sz w:val="22"/>
          <w:szCs w:val="22"/>
          <w:lang w:val="fr-CH" w:eastAsia="de-CH"/>
        </w:rPr>
        <w:t>accompagnement</w:t>
      </w:r>
      <w:r w:rsidR="00ED437E" w:rsidRPr="008732B8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8732B8" w:rsidRPr="008732B8">
        <w:rPr>
          <w:rFonts w:ascii="Arial" w:hAnsi="Arial" w:cs="Arial"/>
          <w:sz w:val="22"/>
          <w:szCs w:val="22"/>
          <w:lang w:val="fr-CH" w:eastAsia="de-CH"/>
        </w:rPr>
        <w:t xml:space="preserve">curatelle de représentation sans limitation de l’exercice des droits civils ou avec limitation pour certains actes / privation de la faculté d’accéder à certains éléments de fortune (blocage de comptes, privation de la faculté de disposer d’un immeuble) </w:t>
      </w:r>
      <w:r w:rsidR="008732B8">
        <w:rPr>
          <w:rFonts w:ascii="Arial" w:hAnsi="Arial" w:cs="Arial"/>
          <w:sz w:val="22"/>
          <w:szCs w:val="22"/>
          <w:lang w:val="fr-CH" w:eastAsia="de-CH"/>
        </w:rPr>
        <w:t>en cas de curatelle de représentation pour la gestion du patrimoine / curatelle de coopération / combinaison des curatelles / calibrage des curatelles par l’APEA / curatelle de portée générale avec privation de plein droit de l’exercice des droits civils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  <w:r w:rsidR="008732B8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ED437E" w:rsidRPr="005A6CDA" w:rsidRDefault="008732B8" w:rsidP="008E1E34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5A6CDA">
        <w:rPr>
          <w:rFonts w:ascii="Arial" w:hAnsi="Arial" w:cs="Arial"/>
          <w:b/>
          <w:bCs/>
          <w:sz w:val="22"/>
          <w:szCs w:val="22"/>
          <w:lang w:val="fr-CH" w:eastAsia="en-US"/>
        </w:rPr>
        <w:t>Fin de la curatelle</w:t>
      </w:r>
      <w:r w:rsidR="008E1E34" w:rsidRPr="005A6CDA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5A6CDA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5A6CDA">
        <w:rPr>
          <w:rFonts w:ascii="Arial" w:hAnsi="Arial" w:cs="Arial"/>
          <w:color w:val="0000FF"/>
          <w:sz w:val="22"/>
          <w:szCs w:val="22"/>
          <w:lang w:val="fr-CH" w:eastAsia="de-CH"/>
        </w:rPr>
        <w:t>rt. 399</w:t>
      </w:r>
      <w:r w:rsidR="00ED437E" w:rsidRPr="005A6CDA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E1E34" w:rsidRPr="005A6CDA">
        <w:rPr>
          <w:rFonts w:ascii="Arial" w:hAnsi="Arial" w:cs="Arial"/>
          <w:sz w:val="22"/>
          <w:szCs w:val="22"/>
          <w:lang w:val="fr-CH" w:eastAsia="de-CH"/>
        </w:rPr>
        <w:br/>
      </w:r>
      <w:r w:rsidRPr="005A6CDA">
        <w:rPr>
          <w:rFonts w:ascii="Arial" w:hAnsi="Arial" w:cs="Arial"/>
          <w:sz w:val="22"/>
          <w:szCs w:val="22"/>
          <w:lang w:val="fr-CH" w:eastAsia="de-CH"/>
        </w:rPr>
        <w:t>Décès de la personne / levée</w:t>
      </w:r>
      <w:r w:rsidR="005A6CDA" w:rsidRPr="005A6CDA">
        <w:rPr>
          <w:rFonts w:ascii="Arial" w:hAnsi="Arial" w:cs="Arial"/>
          <w:sz w:val="22"/>
          <w:szCs w:val="22"/>
          <w:lang w:val="fr-CH" w:eastAsia="de-CH"/>
        </w:rPr>
        <w:t xml:space="preserve"> lorsque la mesure n’est plus justifiée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  <w:r w:rsidR="005A6CDA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ED437E" w:rsidRPr="00B4721C" w:rsidRDefault="005A6CDA" w:rsidP="008C7F7D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B4721C">
        <w:rPr>
          <w:rFonts w:ascii="Arial" w:hAnsi="Arial" w:cs="Arial"/>
          <w:b/>
          <w:bCs/>
          <w:sz w:val="22"/>
          <w:szCs w:val="22"/>
          <w:lang w:val="fr-CH" w:eastAsia="en-US"/>
        </w:rPr>
        <w:t>Le curateur ou la curatrice</w:t>
      </w:r>
      <w:r w:rsidR="008C7F7D" w:rsidRPr="00B4721C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B4721C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B4721C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400 – </w:t>
      </w:r>
      <w:r w:rsidRPr="00B4721C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B4721C">
        <w:rPr>
          <w:rFonts w:ascii="Arial" w:hAnsi="Arial" w:cs="Arial"/>
          <w:color w:val="0000FF"/>
          <w:sz w:val="22"/>
          <w:szCs w:val="22"/>
          <w:lang w:val="fr-CH" w:eastAsia="de-CH"/>
        </w:rPr>
        <w:t>rt. 404</w:t>
      </w:r>
      <w:r w:rsidR="00ED437E" w:rsidRPr="00B4721C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C7F7D" w:rsidRPr="00B4721C">
        <w:rPr>
          <w:rFonts w:ascii="Arial" w:hAnsi="Arial" w:cs="Arial"/>
          <w:sz w:val="22"/>
          <w:szCs w:val="22"/>
          <w:lang w:val="fr-CH" w:eastAsia="de-CH"/>
        </w:rPr>
        <w:br/>
      </w:r>
      <w:r w:rsidR="00B4721C" w:rsidRPr="00B4721C">
        <w:rPr>
          <w:rFonts w:ascii="Arial" w:hAnsi="Arial" w:cs="Arial"/>
          <w:sz w:val="22"/>
          <w:szCs w:val="22"/>
          <w:lang w:val="fr-CH" w:eastAsia="de-CH"/>
        </w:rPr>
        <w:t>Aptitudes et connaissances nécessaires</w:t>
      </w:r>
      <w:r w:rsidR="00ED437E" w:rsidRPr="00B4721C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B4721C" w:rsidRPr="00B4721C">
        <w:rPr>
          <w:rFonts w:ascii="Arial" w:hAnsi="Arial" w:cs="Arial"/>
          <w:sz w:val="22"/>
          <w:szCs w:val="22"/>
          <w:lang w:val="fr-CH" w:eastAsia="de-CH"/>
        </w:rPr>
        <w:t>disposer du temps nécessaire</w:t>
      </w:r>
      <w:r w:rsidR="008C7F7D" w:rsidRPr="00B4721C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ED437E" w:rsidRPr="00B4721C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B4721C" w:rsidRPr="00B4721C">
        <w:rPr>
          <w:rFonts w:ascii="Arial" w:hAnsi="Arial" w:cs="Arial"/>
          <w:sz w:val="22"/>
          <w:szCs w:val="22"/>
          <w:lang w:val="fr-CH" w:eastAsia="de-CH"/>
        </w:rPr>
        <w:t>obligation d’accepter la curatelle</w:t>
      </w:r>
      <w:r w:rsidR="00ED437E" w:rsidRPr="00B4721C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B4721C" w:rsidRPr="00B4721C">
        <w:rPr>
          <w:rFonts w:ascii="Arial" w:hAnsi="Arial" w:cs="Arial"/>
          <w:sz w:val="22"/>
          <w:szCs w:val="22"/>
          <w:lang w:val="fr-CH" w:eastAsia="de-CH"/>
        </w:rPr>
        <w:t xml:space="preserve">instructions, conseils, soutien des curateurs et curatrices / droit de la personne concernée de proposer quelqu’un / prise en considération des </w:t>
      </w:r>
      <w:r w:rsidR="004C22A6" w:rsidRPr="00B4721C">
        <w:rPr>
          <w:rFonts w:ascii="Arial" w:hAnsi="Arial" w:cs="Arial"/>
          <w:sz w:val="22"/>
          <w:szCs w:val="22"/>
          <w:lang w:val="fr-CH" w:eastAsia="de-CH"/>
        </w:rPr>
        <w:t>souhaits</w:t>
      </w:r>
      <w:r w:rsidR="00B4721C" w:rsidRPr="00B4721C">
        <w:rPr>
          <w:rFonts w:ascii="Arial" w:hAnsi="Arial" w:cs="Arial"/>
          <w:sz w:val="22"/>
          <w:szCs w:val="22"/>
          <w:lang w:val="fr-CH" w:eastAsia="de-CH"/>
        </w:rPr>
        <w:t xml:space="preserve"> des membres de la famille ou d’autres proches / curatelle confiée à plusieurs personnes / emp</w:t>
      </w:r>
      <w:r w:rsidR="00B4721C">
        <w:rPr>
          <w:rFonts w:ascii="Arial" w:hAnsi="Arial" w:cs="Arial"/>
          <w:sz w:val="22"/>
          <w:szCs w:val="22"/>
          <w:lang w:val="fr-CH" w:eastAsia="de-CH"/>
        </w:rPr>
        <w:t>êchement et conflit d’intérêt</w:t>
      </w:r>
      <w:r w:rsidR="004C22A6">
        <w:rPr>
          <w:rFonts w:ascii="Arial" w:hAnsi="Arial" w:cs="Arial"/>
          <w:sz w:val="22"/>
          <w:szCs w:val="22"/>
          <w:lang w:val="fr-CH" w:eastAsia="de-CH"/>
        </w:rPr>
        <w:t>s</w:t>
      </w:r>
      <w:r w:rsidR="00B4721C">
        <w:rPr>
          <w:rFonts w:ascii="Arial" w:hAnsi="Arial" w:cs="Arial"/>
          <w:sz w:val="22"/>
          <w:szCs w:val="22"/>
          <w:lang w:val="fr-CH" w:eastAsia="de-CH"/>
        </w:rPr>
        <w:t xml:space="preserve"> – curateur de remplacement / rémunération et remboursement des frais justifiés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E72738" w:rsidRDefault="00B4721C" w:rsidP="008C7F7D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E72738">
        <w:rPr>
          <w:rFonts w:ascii="Arial" w:hAnsi="Arial" w:cs="Arial"/>
          <w:b/>
          <w:bCs/>
          <w:sz w:val="22"/>
          <w:szCs w:val="22"/>
          <w:lang w:val="fr-CH" w:eastAsia="en-US"/>
        </w:rPr>
        <w:t>L’exercice de la curatelle</w:t>
      </w:r>
      <w:r w:rsidR="008C7F7D" w:rsidRPr="00E72738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E72738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E72738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405 – </w:t>
      </w:r>
      <w:r w:rsidRPr="00E72738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E72738">
        <w:rPr>
          <w:rFonts w:ascii="Arial" w:hAnsi="Arial" w:cs="Arial"/>
          <w:color w:val="0000FF"/>
          <w:sz w:val="22"/>
          <w:szCs w:val="22"/>
          <w:lang w:val="fr-CH" w:eastAsia="de-CH"/>
        </w:rPr>
        <w:t>rt. 414</w:t>
      </w:r>
      <w:r w:rsidR="00ED437E" w:rsidRPr="00E72738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C7F7D" w:rsidRPr="00E72738">
        <w:rPr>
          <w:rFonts w:ascii="Arial" w:hAnsi="Arial" w:cs="Arial"/>
          <w:sz w:val="22"/>
          <w:szCs w:val="22"/>
          <w:lang w:val="fr-CH" w:eastAsia="de-CH"/>
        </w:rPr>
        <w:br/>
      </w:r>
      <w:r w:rsidRPr="00E72738">
        <w:rPr>
          <w:rFonts w:ascii="Arial" w:hAnsi="Arial" w:cs="Arial"/>
          <w:sz w:val="22"/>
          <w:szCs w:val="22"/>
          <w:lang w:val="fr-CH" w:eastAsia="de-CH"/>
        </w:rPr>
        <w:t xml:space="preserve">Entrée en fonction et établissement de l’inventaire / relations avec la personne concernée / </w:t>
      </w:r>
      <w:r w:rsidR="00E72738" w:rsidRPr="00E72738">
        <w:rPr>
          <w:rFonts w:ascii="Arial" w:hAnsi="Arial" w:cs="Arial"/>
          <w:sz w:val="22"/>
          <w:szCs w:val="22"/>
          <w:lang w:val="fr-CH" w:eastAsia="de-CH"/>
        </w:rPr>
        <w:t>possibilité</w:t>
      </w:r>
      <w:r w:rsidR="004C22A6">
        <w:rPr>
          <w:rFonts w:ascii="Arial" w:hAnsi="Arial" w:cs="Arial"/>
          <w:sz w:val="22"/>
          <w:szCs w:val="22"/>
          <w:lang w:val="fr-CH" w:eastAsia="de-CH"/>
        </w:rPr>
        <w:t xml:space="preserve"> d’</w:t>
      </w:r>
      <w:r w:rsidR="00E72738" w:rsidRPr="00E72738">
        <w:rPr>
          <w:rFonts w:ascii="Arial" w:hAnsi="Arial" w:cs="Arial"/>
          <w:sz w:val="22"/>
          <w:szCs w:val="22"/>
          <w:lang w:val="fr-CH" w:eastAsia="de-CH"/>
        </w:rPr>
        <w:t>exercer</w:t>
      </w:r>
      <w:r w:rsidRPr="00E72738">
        <w:rPr>
          <w:rFonts w:ascii="Arial" w:hAnsi="Arial" w:cs="Arial"/>
          <w:sz w:val="22"/>
          <w:szCs w:val="22"/>
          <w:lang w:val="fr-CH" w:eastAsia="de-CH"/>
        </w:rPr>
        <w:t xml:space="preserve"> ses droits par la personne capable de discernement dont l’exercice des droits civils </w:t>
      </w:r>
      <w:r w:rsidR="00E72738" w:rsidRPr="00E72738">
        <w:rPr>
          <w:rFonts w:ascii="Arial" w:hAnsi="Arial" w:cs="Arial"/>
          <w:sz w:val="22"/>
          <w:szCs w:val="22"/>
          <w:lang w:val="fr-CH" w:eastAsia="de-CH"/>
        </w:rPr>
        <w:t xml:space="preserve">a été limité – droits strictement personnels / gestion du patrimoine / montants laissés à la libre disposition de la personne / comptabilité et remise de comptes (au moins tous les deux ans) </w:t>
      </w:r>
      <w:r w:rsidR="00E72738">
        <w:rPr>
          <w:rFonts w:ascii="Arial" w:hAnsi="Arial" w:cs="Arial"/>
          <w:sz w:val="22"/>
          <w:szCs w:val="22"/>
          <w:lang w:val="fr-CH" w:eastAsia="de-CH"/>
        </w:rPr>
        <w:t>ainsi que d’un rapport d’activité, en associant la personne concernée / affaires prohibées / même devoir de diligence que le mandataire selon le CO / obligation de conserver le secret / devoir de communiquer à l’APEA les faits nouveaux qui justifient une modifi</w:t>
      </w:r>
      <w:r w:rsidR="004C22A6">
        <w:rPr>
          <w:rFonts w:ascii="Arial" w:hAnsi="Arial" w:cs="Arial"/>
          <w:sz w:val="22"/>
          <w:szCs w:val="22"/>
          <w:lang w:val="fr-CH" w:eastAsia="de-CH"/>
        </w:rPr>
        <w:t>cation de la mesure ou sa levée.</w:t>
      </w:r>
    </w:p>
    <w:p w:rsidR="00ED437E" w:rsidRPr="00737D0B" w:rsidRDefault="00737D0B" w:rsidP="008C7F7D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737D0B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Le concours de l’autorité de protection de l’adulte </w:t>
      </w:r>
      <w:r w:rsidRPr="00737D0B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737D0B">
        <w:rPr>
          <w:rFonts w:ascii="Arial" w:hAnsi="Arial" w:cs="Arial"/>
          <w:color w:val="0000FF"/>
          <w:sz w:val="22"/>
          <w:szCs w:val="22"/>
          <w:lang w:val="fr-CH" w:eastAsia="de-CH"/>
        </w:rPr>
        <w:t>rt. 415 –</w:t>
      </w:r>
      <w:r w:rsidRPr="00737D0B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 a</w:t>
      </w:r>
      <w:r w:rsidR="00ED437E" w:rsidRPr="00737D0B">
        <w:rPr>
          <w:rFonts w:ascii="Arial" w:hAnsi="Arial" w:cs="Arial"/>
          <w:color w:val="0000FF"/>
          <w:sz w:val="22"/>
          <w:szCs w:val="22"/>
          <w:lang w:val="fr-CH" w:eastAsia="de-CH"/>
        </w:rPr>
        <w:t>rt. 418</w:t>
      </w:r>
      <w:r w:rsidR="00ED437E" w:rsidRPr="00737D0B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8C7F7D" w:rsidRPr="00737D0B">
        <w:rPr>
          <w:rFonts w:ascii="Arial" w:hAnsi="Arial" w:cs="Arial"/>
          <w:sz w:val="22"/>
          <w:szCs w:val="22"/>
          <w:lang w:val="fr-CH" w:eastAsia="de-CH"/>
        </w:rPr>
        <w:br/>
      </w:r>
      <w:r w:rsidRPr="00737D0B">
        <w:rPr>
          <w:rFonts w:ascii="Arial" w:hAnsi="Arial" w:cs="Arial"/>
          <w:sz w:val="22"/>
          <w:szCs w:val="22"/>
          <w:lang w:val="fr-CH" w:eastAsia="de-CH"/>
        </w:rPr>
        <w:t>Examen des comptes et du rapport</w:t>
      </w:r>
      <w:r w:rsidR="00ED437E" w:rsidRPr="00737D0B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Pr="00737D0B">
        <w:rPr>
          <w:rFonts w:ascii="Arial" w:hAnsi="Arial" w:cs="Arial"/>
          <w:sz w:val="22"/>
          <w:szCs w:val="22"/>
          <w:lang w:val="fr-CH" w:eastAsia="de-CH"/>
        </w:rPr>
        <w:t xml:space="preserve">mesures propres à sauvegarder les intérêts de la personne concernée sur la base des comptes ou du rapport / catalogue des actes nécessitant le consentement de l’APEA </w:t>
      </w:r>
      <w:r w:rsidR="00ED437E" w:rsidRPr="00737D0B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Pr="00737D0B">
        <w:rPr>
          <w:rFonts w:ascii="Arial" w:hAnsi="Arial" w:cs="Arial"/>
          <w:sz w:val="22"/>
          <w:szCs w:val="22"/>
          <w:lang w:val="fr-CH" w:eastAsia="de-CH"/>
        </w:rPr>
        <w:t xml:space="preserve">consentement de la personne capable de discernement et possédant l’exercice des droits civils en lieu et place du consentement de l’APEA / possibilité d’étendre la nécessité du consentement à d’autres actes </w:t>
      </w:r>
      <w:r>
        <w:rPr>
          <w:rFonts w:ascii="Arial" w:hAnsi="Arial" w:cs="Arial"/>
          <w:sz w:val="22"/>
          <w:szCs w:val="22"/>
          <w:lang w:val="fr-CH" w:eastAsia="de-CH"/>
        </w:rPr>
        <w:t>dans des cas particuliers</w:t>
      </w:r>
      <w:r w:rsidR="00ED437E" w:rsidRPr="00737D0B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>
        <w:rPr>
          <w:rFonts w:ascii="Arial" w:hAnsi="Arial" w:cs="Arial"/>
          <w:sz w:val="22"/>
          <w:szCs w:val="22"/>
          <w:lang w:val="fr-CH" w:eastAsia="de-CH"/>
        </w:rPr>
        <w:t>effets du consentement et du défaut de consentement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447E93" w:rsidRPr="00737D0B" w:rsidRDefault="00447E93" w:rsidP="008C7F7D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</w:p>
    <w:p w:rsidR="00FF6D80" w:rsidRPr="00D60E84" w:rsidRDefault="00737D0B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D60E84">
        <w:rPr>
          <w:rFonts w:ascii="Arial" w:hAnsi="Arial" w:cs="Arial"/>
          <w:b/>
          <w:bCs/>
          <w:sz w:val="22"/>
          <w:szCs w:val="22"/>
          <w:lang w:val="fr-CH" w:eastAsia="en-US"/>
        </w:rPr>
        <w:lastRenderedPageBreak/>
        <w:t>Intervention d</w:t>
      </w:r>
      <w:r w:rsidR="004C22A6">
        <w:rPr>
          <w:rFonts w:ascii="Arial" w:hAnsi="Arial" w:cs="Arial"/>
          <w:b/>
          <w:bCs/>
          <w:sz w:val="22"/>
          <w:szCs w:val="22"/>
          <w:lang w:val="fr-CH" w:eastAsia="en-US"/>
        </w:rPr>
        <w:t>e l’autorité de protection de l’</w:t>
      </w:r>
      <w:r w:rsidRPr="00D60E84">
        <w:rPr>
          <w:rFonts w:ascii="Arial" w:hAnsi="Arial" w:cs="Arial"/>
          <w:b/>
          <w:bCs/>
          <w:sz w:val="22"/>
          <w:szCs w:val="22"/>
          <w:lang w:val="fr-CH" w:eastAsia="en-US"/>
        </w:rPr>
        <w:t>adulte</w:t>
      </w:r>
      <w:r w:rsidR="00FF6D80" w:rsidRPr="00D60E84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="00D60E8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D60E84">
        <w:rPr>
          <w:rFonts w:ascii="Arial" w:hAnsi="Arial" w:cs="Arial"/>
          <w:color w:val="0000FF"/>
          <w:sz w:val="22"/>
          <w:szCs w:val="22"/>
          <w:lang w:val="fr-CH" w:eastAsia="de-CH"/>
        </w:rPr>
        <w:t>rt. 419</w:t>
      </w:r>
      <w:r w:rsidR="00ED437E" w:rsidRPr="00D60E84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D60E84">
        <w:rPr>
          <w:rFonts w:ascii="Arial" w:hAnsi="Arial" w:cs="Arial"/>
          <w:sz w:val="22"/>
          <w:szCs w:val="22"/>
          <w:lang w:val="fr-CH" w:eastAsia="de-CH"/>
        </w:rPr>
        <w:br/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Possibilité de la personne concernée ou de </w:t>
      </w:r>
      <w:r w:rsidR="00D60E84" w:rsidRPr="00D60E84">
        <w:rPr>
          <w:rFonts w:ascii="Arial" w:hAnsi="Arial" w:cs="Arial"/>
          <w:sz w:val="22"/>
          <w:szCs w:val="22"/>
          <w:lang w:val="fr-CH" w:eastAsia="de-CH"/>
        </w:rPr>
        <w:t xml:space="preserve">l’un de </w:t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ses proches </w:t>
      </w:r>
      <w:r w:rsidR="00D60E84" w:rsidRPr="00D60E84">
        <w:rPr>
          <w:rFonts w:ascii="Arial" w:hAnsi="Arial" w:cs="Arial"/>
          <w:sz w:val="22"/>
          <w:szCs w:val="22"/>
          <w:lang w:val="fr-CH" w:eastAsia="de-CH"/>
        </w:rPr>
        <w:t xml:space="preserve">d’en appeler à l’APEA </w:t>
      </w:r>
      <w:r w:rsidR="00D60E84">
        <w:rPr>
          <w:rFonts w:ascii="Arial" w:hAnsi="Arial" w:cs="Arial"/>
          <w:sz w:val="22"/>
          <w:szCs w:val="22"/>
          <w:lang w:val="fr-CH" w:eastAsia="de-CH"/>
        </w:rPr>
        <w:t>contre les actes ou</w:t>
      </w:r>
      <w:r w:rsidR="00D60E84" w:rsidRPr="00D60E84">
        <w:rPr>
          <w:rFonts w:ascii="Arial" w:hAnsi="Arial" w:cs="Arial"/>
          <w:sz w:val="22"/>
          <w:szCs w:val="22"/>
          <w:lang w:val="fr-CH" w:eastAsia="de-CH"/>
        </w:rPr>
        <w:t xml:space="preserve"> les omissions du curateur ou de la curatrice (</w:t>
      </w:r>
      <w:r w:rsidR="00D60E84">
        <w:rPr>
          <w:rFonts w:ascii="Arial" w:hAnsi="Arial" w:cs="Arial"/>
          <w:sz w:val="22"/>
          <w:szCs w:val="22"/>
          <w:lang w:val="fr-CH" w:eastAsia="de-CH"/>
        </w:rPr>
        <w:t>recours contre le curateur)</w:t>
      </w:r>
      <w:r w:rsidR="004C22A6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D60E84" w:rsidRDefault="00D60E84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D60E84">
        <w:rPr>
          <w:rFonts w:ascii="Arial" w:hAnsi="Arial" w:cs="Arial"/>
          <w:b/>
          <w:bCs/>
          <w:sz w:val="22"/>
          <w:szCs w:val="22"/>
          <w:lang w:val="fr-CH" w:eastAsia="en-US"/>
        </w:rPr>
        <w:t>La curatelle confiée à des proches</w:t>
      </w:r>
      <w:r w:rsidR="00FF6D80" w:rsidRPr="00D60E84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proofErr w:type="gramStart"/>
      <w:r w:rsidRPr="00D60E8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D60E84">
        <w:rPr>
          <w:rFonts w:ascii="Arial" w:hAnsi="Arial" w:cs="Arial"/>
          <w:color w:val="0000FF"/>
          <w:sz w:val="22"/>
          <w:szCs w:val="22"/>
          <w:lang w:val="fr-CH" w:eastAsia="de-CH"/>
        </w:rPr>
        <w:t>rt</w:t>
      </w:r>
      <w:proofErr w:type="gramEnd"/>
      <w:r w:rsidR="00ED437E" w:rsidRPr="00D60E84">
        <w:rPr>
          <w:rFonts w:ascii="Arial" w:hAnsi="Arial" w:cs="Arial"/>
          <w:color w:val="0000FF"/>
          <w:sz w:val="22"/>
          <w:szCs w:val="22"/>
          <w:lang w:val="fr-CH" w:eastAsia="de-CH"/>
        </w:rPr>
        <w:t>. 420</w:t>
      </w:r>
      <w:r w:rsidR="00ED437E" w:rsidRPr="00D60E84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D60E84">
        <w:rPr>
          <w:rFonts w:ascii="Arial" w:hAnsi="Arial" w:cs="Arial"/>
          <w:sz w:val="22"/>
          <w:szCs w:val="22"/>
          <w:lang w:val="fr-CH" w:eastAsia="de-CH"/>
        </w:rPr>
        <w:br/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Possibilité de dispenser </w:t>
      </w:r>
      <w:r w:rsidR="004C22A6">
        <w:rPr>
          <w:rFonts w:ascii="Arial" w:hAnsi="Arial" w:cs="Arial"/>
          <w:sz w:val="22"/>
          <w:szCs w:val="22"/>
          <w:lang w:val="fr-CH" w:eastAsia="de-CH"/>
        </w:rPr>
        <w:t xml:space="preserve">les </w:t>
      </w:r>
      <w:r w:rsidR="004C22A6" w:rsidRPr="00D60E84">
        <w:rPr>
          <w:rFonts w:ascii="Arial" w:hAnsi="Arial" w:cs="Arial"/>
          <w:sz w:val="22"/>
          <w:szCs w:val="22"/>
          <w:lang w:val="fr-CH" w:eastAsia="de-CH"/>
        </w:rPr>
        <w:t>proches parents auxquels la curatelle a été</w:t>
      </w:r>
      <w:r w:rsidR="004C22A6">
        <w:rPr>
          <w:rFonts w:ascii="Arial" w:hAnsi="Arial" w:cs="Arial"/>
          <w:sz w:val="22"/>
          <w:szCs w:val="22"/>
          <w:lang w:val="fr-CH" w:eastAsia="de-CH"/>
        </w:rPr>
        <w:t xml:space="preserve"> confiée</w:t>
      </w:r>
      <w:r w:rsidR="004C22A6" w:rsidRPr="00D60E84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Pr="00D60E84">
        <w:rPr>
          <w:rFonts w:ascii="Arial" w:hAnsi="Arial" w:cs="Arial"/>
          <w:sz w:val="22"/>
          <w:szCs w:val="22"/>
          <w:lang w:val="fr-CH" w:eastAsia="de-CH"/>
        </w:rPr>
        <w:t>de certaines tâches incombant au curateur (remise de l</w:t>
      </w:r>
      <w:r w:rsidR="004C22A6">
        <w:rPr>
          <w:rFonts w:ascii="Arial" w:hAnsi="Arial" w:cs="Arial"/>
          <w:sz w:val="22"/>
          <w:szCs w:val="22"/>
          <w:lang w:val="fr-CH" w:eastAsia="de-CH"/>
        </w:rPr>
        <w:t>’</w:t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inventaire, </w:t>
      </w:r>
      <w:r>
        <w:rPr>
          <w:rFonts w:ascii="Arial" w:hAnsi="Arial" w:cs="Arial"/>
          <w:sz w:val="22"/>
          <w:szCs w:val="22"/>
          <w:lang w:val="fr-CH" w:eastAsia="de-CH"/>
        </w:rPr>
        <w:t xml:space="preserve">établissement du </w:t>
      </w:r>
      <w:r w:rsidR="008259C1" w:rsidRPr="00D60E84">
        <w:rPr>
          <w:rFonts w:ascii="Arial" w:hAnsi="Arial" w:cs="Arial"/>
          <w:sz w:val="22"/>
          <w:szCs w:val="22"/>
          <w:lang w:val="fr-CH" w:eastAsia="de-CH"/>
        </w:rPr>
        <w:t>rapport</w:t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 et </w:t>
      </w:r>
      <w:r>
        <w:rPr>
          <w:rFonts w:ascii="Arial" w:hAnsi="Arial" w:cs="Arial"/>
          <w:sz w:val="22"/>
          <w:szCs w:val="22"/>
          <w:lang w:val="fr-CH" w:eastAsia="de-CH"/>
        </w:rPr>
        <w:t xml:space="preserve">des </w:t>
      </w:r>
      <w:r w:rsidRPr="00D60E84">
        <w:rPr>
          <w:rFonts w:ascii="Arial" w:hAnsi="Arial" w:cs="Arial"/>
          <w:sz w:val="22"/>
          <w:szCs w:val="22"/>
          <w:lang w:val="fr-CH" w:eastAsia="de-CH"/>
        </w:rPr>
        <w:t xml:space="preserve">comptes, </w:t>
      </w:r>
      <w:r>
        <w:rPr>
          <w:rFonts w:ascii="Arial" w:hAnsi="Arial" w:cs="Arial"/>
          <w:sz w:val="22"/>
          <w:szCs w:val="22"/>
          <w:lang w:val="fr-CH" w:eastAsia="de-CH"/>
        </w:rPr>
        <w:t>requérir le co</w:t>
      </w:r>
      <w:r w:rsidR="004C22A6">
        <w:rPr>
          <w:rFonts w:ascii="Arial" w:hAnsi="Arial" w:cs="Arial"/>
          <w:sz w:val="22"/>
          <w:szCs w:val="22"/>
          <w:lang w:val="fr-CH" w:eastAsia="de-CH"/>
        </w:rPr>
        <w:t>nsentement pour certains actes).</w:t>
      </w:r>
    </w:p>
    <w:p w:rsidR="00ED437E" w:rsidRPr="00B04C92" w:rsidRDefault="008259C1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B04C92">
        <w:rPr>
          <w:rFonts w:ascii="Arial" w:hAnsi="Arial" w:cs="Arial"/>
          <w:b/>
          <w:bCs/>
          <w:sz w:val="22"/>
          <w:szCs w:val="22"/>
          <w:lang w:val="fr-CH" w:eastAsia="en-US"/>
        </w:rPr>
        <w:t>La fin des fonctions du curateur ou de la curatrice</w:t>
      </w:r>
      <w:r w:rsidR="00FF6D80" w:rsidRPr="00B04C92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B04C92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B04C92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421 – </w:t>
      </w:r>
      <w:r w:rsidRPr="00B04C92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B04C92">
        <w:rPr>
          <w:rFonts w:ascii="Arial" w:hAnsi="Arial" w:cs="Arial"/>
          <w:color w:val="0000FF"/>
          <w:sz w:val="22"/>
          <w:szCs w:val="22"/>
          <w:lang w:val="fr-CH" w:eastAsia="de-CH"/>
        </w:rPr>
        <w:t>rt. 425</w:t>
      </w:r>
      <w:r w:rsidR="00ED437E" w:rsidRPr="00B04C92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B04C92">
        <w:rPr>
          <w:rFonts w:ascii="Arial" w:hAnsi="Arial" w:cs="Arial"/>
          <w:sz w:val="22"/>
          <w:szCs w:val="22"/>
          <w:lang w:val="fr-CH" w:eastAsia="de-CH"/>
        </w:rPr>
        <w:br/>
      </w:r>
      <w:r w:rsidR="00FE2F23">
        <w:rPr>
          <w:rFonts w:ascii="Arial" w:hAnsi="Arial" w:cs="Arial"/>
          <w:sz w:val="22"/>
          <w:szCs w:val="22"/>
          <w:lang w:val="fr-CH" w:eastAsia="de-CH"/>
        </w:rPr>
        <w:t>Cas de fin</w:t>
      </w:r>
      <w:r w:rsidRPr="00B04C92">
        <w:rPr>
          <w:rFonts w:ascii="Arial" w:hAnsi="Arial" w:cs="Arial"/>
          <w:sz w:val="22"/>
          <w:szCs w:val="22"/>
          <w:lang w:val="fr-CH" w:eastAsia="de-CH"/>
        </w:rPr>
        <w:t xml:space="preserve"> de plein droit, notamment la fin des rapports de travail du curateur professionnel /</w:t>
      </w:r>
      <w:r w:rsidR="00ED437E" w:rsidRPr="00B04C92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Pr="00B04C92">
        <w:rPr>
          <w:rFonts w:ascii="Arial" w:hAnsi="Arial" w:cs="Arial"/>
          <w:sz w:val="22"/>
          <w:szCs w:val="22"/>
          <w:lang w:val="fr-CH" w:eastAsia="de-CH"/>
        </w:rPr>
        <w:t>libération sur requête du curateur</w:t>
      </w:r>
      <w:r w:rsidR="00B04C92" w:rsidRPr="00B04C92">
        <w:rPr>
          <w:rFonts w:ascii="Arial" w:hAnsi="Arial" w:cs="Arial"/>
          <w:sz w:val="22"/>
          <w:szCs w:val="22"/>
          <w:lang w:val="fr-CH" w:eastAsia="de-CH"/>
        </w:rPr>
        <w:t xml:space="preserve"> / obligation </w:t>
      </w:r>
      <w:r w:rsidR="00FE2F23">
        <w:rPr>
          <w:rFonts w:ascii="Arial" w:hAnsi="Arial" w:cs="Arial"/>
          <w:sz w:val="22"/>
          <w:szCs w:val="22"/>
          <w:lang w:val="fr-CH" w:eastAsia="de-CH"/>
        </w:rPr>
        <w:t>d’assurer la gestion jusqu’à</w:t>
      </w:r>
      <w:r w:rsidR="00B04C92" w:rsidRPr="00B04C92">
        <w:rPr>
          <w:rFonts w:ascii="Arial" w:hAnsi="Arial" w:cs="Arial"/>
          <w:sz w:val="22"/>
          <w:szCs w:val="22"/>
          <w:lang w:val="fr-CH" w:eastAsia="de-CH"/>
        </w:rPr>
        <w:t xml:space="preserve"> l’entrée en fonction du successeur / libération du curateur de ses fonctions s’il n’est plus apte à remplir sa t</w:t>
      </w:r>
      <w:r w:rsidR="00B04C92">
        <w:rPr>
          <w:rFonts w:ascii="Arial" w:hAnsi="Arial" w:cs="Arial"/>
          <w:sz w:val="22"/>
          <w:szCs w:val="22"/>
          <w:lang w:val="fr-CH" w:eastAsia="de-CH"/>
        </w:rPr>
        <w:t>âche / remise du rapport et des comptes finaux</w:t>
      </w:r>
      <w:r w:rsidR="00FE2F23">
        <w:rPr>
          <w:rFonts w:ascii="Arial" w:hAnsi="Arial" w:cs="Arial"/>
          <w:sz w:val="22"/>
          <w:szCs w:val="22"/>
          <w:lang w:val="fr-CH" w:eastAsia="de-CH"/>
        </w:rPr>
        <w:t>.</w:t>
      </w:r>
      <w:r w:rsidR="00B04C92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ED437E" w:rsidRPr="00B04C92" w:rsidRDefault="00ED437E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sz w:val="22"/>
          <w:szCs w:val="22"/>
          <w:lang w:val="fr-CH" w:eastAsia="de-CH"/>
        </w:rPr>
      </w:pPr>
    </w:p>
    <w:p w:rsidR="00ED437E" w:rsidRPr="006A6144" w:rsidRDefault="003535B9" w:rsidP="00FF6D80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hAnsi="Arial" w:cs="Arial"/>
          <w:b/>
          <w:sz w:val="22"/>
          <w:szCs w:val="22"/>
          <w:u w:val="single"/>
          <w:lang w:val="fr-CH" w:eastAsia="de-CH"/>
        </w:rPr>
        <w:t>Le placement à des fins d’</w:t>
      </w:r>
      <w:r w:rsidR="00B04C92" w:rsidRPr="006A6144">
        <w:rPr>
          <w:rFonts w:ascii="Arial" w:hAnsi="Arial" w:cs="Arial"/>
          <w:b/>
          <w:sz w:val="22"/>
          <w:szCs w:val="22"/>
          <w:u w:val="single"/>
          <w:lang w:val="fr-CH" w:eastAsia="de-CH"/>
        </w:rPr>
        <w:t>assistance</w:t>
      </w:r>
      <w:r w:rsidR="00FF6D80" w:rsidRPr="006A6144">
        <w:rPr>
          <w:rFonts w:ascii="Arial" w:hAnsi="Arial" w:cs="Arial"/>
          <w:b/>
          <w:sz w:val="22"/>
          <w:szCs w:val="22"/>
          <w:u w:val="single"/>
          <w:lang w:val="fr-CH" w:eastAsia="de-CH"/>
        </w:rPr>
        <w:t xml:space="preserve"> </w:t>
      </w:r>
      <w:r w:rsidR="00B04C92" w:rsidRPr="006A614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6A6144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426 – </w:t>
      </w:r>
      <w:r w:rsidR="00B04C92" w:rsidRPr="006A614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6A6144">
        <w:rPr>
          <w:rFonts w:ascii="Arial" w:hAnsi="Arial" w:cs="Arial"/>
          <w:color w:val="0000FF"/>
          <w:sz w:val="22"/>
          <w:szCs w:val="22"/>
          <w:lang w:val="fr-CH" w:eastAsia="de-CH"/>
        </w:rPr>
        <w:t>rt. 439</w:t>
      </w:r>
      <w:r w:rsidR="00ED437E" w:rsidRPr="006A6144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6A6144">
        <w:rPr>
          <w:rFonts w:ascii="Arial" w:hAnsi="Arial" w:cs="Arial"/>
          <w:sz w:val="22"/>
          <w:szCs w:val="22"/>
          <w:lang w:val="fr-CH" w:eastAsia="de-CH"/>
        </w:rPr>
        <w:br/>
      </w:r>
      <w:r w:rsidR="00B04C92" w:rsidRPr="006A6144">
        <w:rPr>
          <w:rFonts w:ascii="Arial" w:hAnsi="Arial" w:cs="Arial"/>
          <w:sz w:val="22"/>
          <w:szCs w:val="22"/>
          <w:lang w:val="fr-CH" w:eastAsia="de-CH"/>
        </w:rPr>
        <w:t xml:space="preserve">Placement </w:t>
      </w:r>
      <w:r w:rsidR="00FE2F23" w:rsidRPr="006A6144">
        <w:rPr>
          <w:rFonts w:ascii="Arial" w:hAnsi="Arial" w:cs="Arial"/>
          <w:sz w:val="22"/>
          <w:szCs w:val="22"/>
          <w:lang w:val="fr-CH" w:eastAsia="de-CH"/>
        </w:rPr>
        <w:t xml:space="preserve">dans une institution appropriée (p. ex. clinique psychiatrique) par l’APEA ou, pour une courte durée (max. 6 semaines), par </w:t>
      </w:r>
      <w:r>
        <w:rPr>
          <w:rFonts w:ascii="Arial" w:hAnsi="Arial" w:cs="Arial"/>
          <w:sz w:val="22"/>
          <w:szCs w:val="22"/>
          <w:lang w:val="fr-CH" w:eastAsia="de-CH"/>
        </w:rPr>
        <w:t>un médecins autorisé</w:t>
      </w:r>
      <w:r w:rsidR="00FE2F23" w:rsidRPr="006A6144">
        <w:rPr>
          <w:rFonts w:ascii="Arial" w:hAnsi="Arial" w:cs="Arial"/>
          <w:sz w:val="22"/>
          <w:szCs w:val="22"/>
          <w:lang w:val="fr-CH" w:eastAsia="de-CH"/>
        </w:rPr>
        <w:t xml:space="preserve"> par le canton</w:t>
      </w:r>
      <w:r w:rsidR="00FE2F23">
        <w:rPr>
          <w:rFonts w:ascii="Arial" w:hAnsi="Arial" w:cs="Arial"/>
          <w:sz w:val="22"/>
          <w:szCs w:val="22"/>
          <w:lang w:val="fr-CH" w:eastAsia="de-CH"/>
        </w:rPr>
        <w:t>,</w:t>
      </w:r>
      <w:r w:rsidR="00FE2F23" w:rsidRPr="006A6144">
        <w:rPr>
          <w:rFonts w:ascii="Arial" w:hAnsi="Arial" w:cs="Arial"/>
          <w:sz w:val="22"/>
          <w:szCs w:val="22"/>
          <w:lang w:val="fr-CH" w:eastAsia="de-CH"/>
        </w:rPr>
        <w:t xml:space="preserve"> de la personne souffrant de troubles psychiques ou d’une déficience mentale</w:t>
      </w:r>
      <w:r w:rsidR="00FE2F23">
        <w:rPr>
          <w:rFonts w:ascii="Arial" w:hAnsi="Arial" w:cs="Arial"/>
          <w:sz w:val="22"/>
          <w:szCs w:val="22"/>
          <w:lang w:val="fr-CH" w:eastAsia="de-CH"/>
        </w:rPr>
        <w:t>,</w:t>
      </w:r>
      <w:r w:rsidR="00FE2F23" w:rsidRPr="006A6144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B04C92" w:rsidRPr="006A6144">
        <w:rPr>
          <w:rFonts w:ascii="Arial" w:hAnsi="Arial" w:cs="Arial"/>
          <w:sz w:val="22"/>
          <w:szCs w:val="22"/>
          <w:lang w:val="fr-CH" w:eastAsia="de-CH"/>
        </w:rPr>
        <w:t>lorsque l’assistance ou le traitement nécessaires ne peuvent lui être fournis d’une autre manière</w:t>
      </w:r>
      <w:r w:rsidR="00ED437E" w:rsidRPr="006A6144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6A6144" w:rsidRPr="006A6144">
        <w:rPr>
          <w:rFonts w:ascii="Arial" w:hAnsi="Arial" w:cs="Arial"/>
          <w:sz w:val="22"/>
          <w:szCs w:val="22"/>
          <w:lang w:val="fr-CH" w:eastAsia="de-CH"/>
        </w:rPr>
        <w:t xml:space="preserve">/ obligation d’informer sur la </w:t>
      </w:r>
      <w:r w:rsidR="006519B6" w:rsidRPr="006A6144">
        <w:rPr>
          <w:rFonts w:ascii="Arial" w:hAnsi="Arial" w:cs="Arial"/>
          <w:sz w:val="22"/>
          <w:szCs w:val="22"/>
          <w:lang w:val="fr-CH" w:eastAsia="de-CH"/>
        </w:rPr>
        <w:t>possibilité</w:t>
      </w:r>
      <w:r w:rsidR="006A6144" w:rsidRPr="006A6144">
        <w:rPr>
          <w:rFonts w:ascii="Arial" w:hAnsi="Arial" w:cs="Arial"/>
          <w:sz w:val="22"/>
          <w:szCs w:val="22"/>
          <w:lang w:val="fr-CH" w:eastAsia="de-CH"/>
        </w:rPr>
        <w:t xml:space="preserve"> de recourir auprès du tribunal / maintien des personnes malgré une demande de libération / principes de procédure et examen périodique / possibilité de faire appel à une personne de confiance / </w:t>
      </w:r>
      <w:r w:rsidR="006A6144">
        <w:rPr>
          <w:rFonts w:ascii="Arial" w:hAnsi="Arial" w:cs="Arial"/>
          <w:sz w:val="22"/>
          <w:szCs w:val="22"/>
          <w:lang w:val="fr-CH" w:eastAsia="de-CH"/>
        </w:rPr>
        <w:t xml:space="preserve">traitement selon le plan de traitement avec l’accord de la personne ou sans son accord à certaines conditions / traitement en cas d’urgence / entretien de sortie </w:t>
      </w:r>
      <w:r w:rsidR="006519B6">
        <w:rPr>
          <w:rFonts w:ascii="Arial" w:hAnsi="Arial" w:cs="Arial"/>
          <w:sz w:val="22"/>
          <w:szCs w:val="22"/>
          <w:lang w:val="fr-CH" w:eastAsia="de-CH"/>
        </w:rPr>
        <w:t xml:space="preserve">sur </w:t>
      </w:r>
      <w:r w:rsidR="006A6144">
        <w:rPr>
          <w:rFonts w:ascii="Arial" w:hAnsi="Arial" w:cs="Arial"/>
          <w:sz w:val="22"/>
          <w:szCs w:val="22"/>
          <w:lang w:val="fr-CH" w:eastAsia="de-CH"/>
        </w:rPr>
        <w:t xml:space="preserve">la prise en charge thérapeutique par rapport au risque de rechute </w:t>
      </w:r>
      <w:r w:rsidR="006519B6">
        <w:rPr>
          <w:rFonts w:ascii="Arial" w:hAnsi="Arial" w:cs="Arial"/>
          <w:sz w:val="22"/>
          <w:szCs w:val="22"/>
          <w:lang w:val="fr-CH" w:eastAsia="de-CH"/>
        </w:rPr>
        <w:t>/ traitement post-institutionnel et mesures ambulatoires selon la droit cantonal /</w:t>
      </w:r>
      <w:r w:rsidR="00ED437E" w:rsidRPr="006A6144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6519B6">
        <w:rPr>
          <w:rFonts w:ascii="Arial" w:hAnsi="Arial" w:cs="Arial"/>
          <w:sz w:val="22"/>
          <w:szCs w:val="22"/>
          <w:lang w:val="fr-CH" w:eastAsia="de-CH"/>
        </w:rPr>
        <w:t>possibilité d’en appeler au juge contre les décisions médicales, notamment le traitement sans le consentement de la personne et les mesures l</w:t>
      </w:r>
      <w:r w:rsidR="00FE2F23">
        <w:rPr>
          <w:rFonts w:ascii="Arial" w:hAnsi="Arial" w:cs="Arial"/>
          <w:sz w:val="22"/>
          <w:szCs w:val="22"/>
          <w:lang w:val="fr-CH" w:eastAsia="de-CH"/>
        </w:rPr>
        <w:t>imitant la liberté de mouvement.</w:t>
      </w:r>
    </w:p>
    <w:p w:rsidR="00ED437E" w:rsidRPr="006A6144" w:rsidRDefault="00ED437E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sz w:val="22"/>
          <w:szCs w:val="22"/>
          <w:lang w:val="fr-CH" w:eastAsia="de-CH"/>
        </w:rPr>
      </w:pPr>
    </w:p>
    <w:p w:rsidR="00ED437E" w:rsidRPr="00FE209E" w:rsidRDefault="00ED437E" w:rsidP="00DB1FEA">
      <w:pPr>
        <w:shd w:val="clear" w:color="auto" w:fill="FFFF99"/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b/>
          <w:color w:val="0000FF"/>
          <w:lang w:val="fr-CH" w:eastAsia="de-CH"/>
        </w:rPr>
      </w:pPr>
      <w:r w:rsidRPr="00FE209E">
        <w:rPr>
          <w:rFonts w:ascii="Arial" w:hAnsi="Arial" w:cs="Arial"/>
          <w:b/>
          <w:color w:val="0000FF"/>
          <w:lang w:val="fr-CH" w:eastAsia="de-CH"/>
        </w:rPr>
        <w:t>Organisation</w:t>
      </w:r>
    </w:p>
    <w:p w:rsidR="00ED437E" w:rsidRPr="00FE209E" w:rsidRDefault="00ED437E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bCs/>
          <w:sz w:val="22"/>
          <w:szCs w:val="22"/>
          <w:lang w:val="fr-CH" w:eastAsia="de-CH"/>
        </w:rPr>
      </w:pPr>
    </w:p>
    <w:p w:rsidR="00ED437E" w:rsidRPr="003535B9" w:rsidRDefault="006519B6" w:rsidP="00FF6D80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sz w:val="22"/>
          <w:szCs w:val="22"/>
          <w:lang w:val="fr-CH" w:eastAsia="de-CH"/>
        </w:rPr>
      </w:pPr>
      <w:r w:rsidRPr="000E74A5">
        <w:rPr>
          <w:rFonts w:ascii="Arial" w:hAnsi="Arial" w:cs="Arial"/>
          <w:b/>
          <w:sz w:val="22"/>
          <w:szCs w:val="22"/>
          <w:lang w:val="fr-CH" w:eastAsia="de-CH"/>
        </w:rPr>
        <w:t>Autorités et compétence à raison du lieu</w:t>
      </w:r>
      <w:r w:rsidR="00FF6D80" w:rsidRPr="000E74A5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Pr="000E74A5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0E74A5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440 – </w:t>
      </w:r>
      <w:r w:rsidRPr="000E74A5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0E74A5">
        <w:rPr>
          <w:rFonts w:ascii="Arial" w:hAnsi="Arial" w:cs="Arial"/>
          <w:color w:val="0000FF"/>
          <w:sz w:val="22"/>
          <w:szCs w:val="22"/>
          <w:lang w:val="fr-CH" w:eastAsia="de-CH"/>
        </w:rPr>
        <w:t>rt. 442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0E74A5">
        <w:rPr>
          <w:rFonts w:ascii="Arial" w:hAnsi="Arial" w:cs="Arial"/>
          <w:sz w:val="22"/>
          <w:szCs w:val="22"/>
          <w:lang w:val="fr-CH" w:eastAsia="de-CH"/>
        </w:rPr>
        <w:br/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>L’autorité de protection de l’adulte es</w:t>
      </w:r>
      <w:r w:rsidR="003535B9">
        <w:rPr>
          <w:rFonts w:ascii="Arial" w:hAnsi="Arial" w:cs="Arial"/>
          <w:sz w:val="22"/>
          <w:szCs w:val="22"/>
          <w:lang w:val="fr-CH" w:eastAsia="de-CH"/>
        </w:rPr>
        <w:t xml:space="preserve">t 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>une autorité interdisciplinaire désignée par les cantons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 xml:space="preserve">composition minimale du collège </w:t>
      </w:r>
      <w:r w:rsidR="003535B9" w:rsidRPr="000E74A5">
        <w:rPr>
          <w:rFonts w:ascii="Arial" w:hAnsi="Arial" w:cs="Arial"/>
          <w:sz w:val="22"/>
          <w:szCs w:val="22"/>
          <w:lang w:val="fr-CH" w:eastAsia="de-CH"/>
        </w:rPr>
        <w:t>décisionnel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 xml:space="preserve"> / l’autorité de protection de l’adulte et aussi autorité de protection de l‘enfant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 xml:space="preserve">autorité(s) de surveillance désignée(e) par les cantons 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– 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>le Conseil fédéral peut édicter des dispositions en matière de surveillance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 xml:space="preserve">l’autorité du domicile de la personne concernée est compétente à raison du lieu, exceptionnellement celle du lieu de résidence, lorsqu’il y a péril en la demeure </w:t>
      </w:r>
      <w:r w:rsidR="000E74A5" w:rsidRPr="000E74A5">
        <w:rPr>
          <w:rFonts w:ascii="Arial" w:hAnsi="Arial" w:cs="Arial"/>
          <w:sz w:val="22"/>
          <w:szCs w:val="22"/>
          <w:lang w:val="fr-CH" w:eastAsia="de-CH"/>
        </w:rPr>
        <w:t>ainsi que celle du lieu o</w:t>
      </w:r>
      <w:r w:rsidR="000E74A5">
        <w:rPr>
          <w:rFonts w:ascii="Arial" w:hAnsi="Arial" w:cs="Arial"/>
          <w:sz w:val="22"/>
          <w:szCs w:val="22"/>
          <w:lang w:val="fr-CH" w:eastAsia="de-CH"/>
        </w:rPr>
        <w:t>ù se trouve la fortune administrée lorsqu’une curatelle est instituée en raison de l’empêchement d’agir de la personne concernée</w:t>
      </w:r>
      <w:r w:rsidR="0019677F" w:rsidRPr="000E74A5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0E74A5">
        <w:rPr>
          <w:rFonts w:ascii="Arial" w:hAnsi="Arial" w:cs="Arial"/>
          <w:sz w:val="22"/>
          <w:szCs w:val="22"/>
          <w:lang w:val="fr-CH" w:eastAsia="de-CH"/>
        </w:rPr>
        <w:t>/</w:t>
      </w:r>
      <w:r w:rsidR="00ED437E" w:rsidRPr="000E74A5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0E74A5">
        <w:rPr>
          <w:rFonts w:ascii="Arial" w:hAnsi="Arial" w:cs="Arial"/>
          <w:sz w:val="22"/>
          <w:szCs w:val="22"/>
          <w:lang w:val="fr-CH" w:eastAsia="de-CH"/>
        </w:rPr>
        <w:t xml:space="preserve">obligation de l’APEA du nouveau domicile de reprendre immédiatement la mesure / possibilité pour les cantons de prévoir que leurs ressortissants domiciliés sur leur territoire sont soumis à l’autorité de protection de leur lieu d’origine (p. ex. </w:t>
      </w:r>
      <w:r w:rsidR="000E74A5" w:rsidRPr="003535B9">
        <w:rPr>
          <w:rFonts w:ascii="Arial" w:hAnsi="Arial" w:cs="Arial"/>
          <w:sz w:val="22"/>
          <w:szCs w:val="22"/>
          <w:lang w:val="fr-CH" w:eastAsia="de-CH"/>
        </w:rPr>
        <w:t>Berne : APEA bourgeoisiale)</w:t>
      </w:r>
      <w:r w:rsidR="003535B9">
        <w:rPr>
          <w:rFonts w:ascii="Arial" w:hAnsi="Arial" w:cs="Arial"/>
          <w:sz w:val="22"/>
          <w:szCs w:val="22"/>
          <w:lang w:val="fr-CH" w:eastAsia="de-CH"/>
        </w:rPr>
        <w:t>.</w:t>
      </w:r>
      <w:r w:rsidR="000E74A5" w:rsidRPr="003535B9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ED437E" w:rsidRPr="00FE209E" w:rsidRDefault="000E74A5" w:rsidP="000E74A5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sz w:val="22"/>
          <w:szCs w:val="22"/>
          <w:lang w:val="fr-CH" w:eastAsia="de-CH"/>
        </w:rPr>
      </w:pPr>
      <w:r w:rsidRPr="00FE209E">
        <w:rPr>
          <w:rFonts w:ascii="Arial" w:hAnsi="Arial" w:cs="Arial"/>
          <w:b/>
          <w:sz w:val="22"/>
          <w:szCs w:val="22"/>
          <w:lang w:val="fr-CH" w:eastAsia="de-CH"/>
        </w:rPr>
        <w:t>Procédure devan</w:t>
      </w:r>
      <w:r w:rsidR="003535B9">
        <w:rPr>
          <w:rFonts w:ascii="Arial" w:hAnsi="Arial" w:cs="Arial"/>
          <w:b/>
          <w:sz w:val="22"/>
          <w:szCs w:val="22"/>
          <w:lang w:val="fr-CH" w:eastAsia="de-CH"/>
        </w:rPr>
        <w:t>t l’autorité de protection de l’</w:t>
      </w:r>
      <w:r w:rsidRPr="00FE209E">
        <w:rPr>
          <w:rFonts w:ascii="Arial" w:hAnsi="Arial" w:cs="Arial"/>
          <w:b/>
          <w:sz w:val="22"/>
          <w:szCs w:val="22"/>
          <w:lang w:val="fr-CH" w:eastAsia="de-CH"/>
        </w:rPr>
        <w:t>adulte</w:t>
      </w:r>
      <w:r w:rsidR="00FF6D80" w:rsidRPr="00FE209E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="00B564E4" w:rsidRPr="00FE209E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FE209E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443 – </w:t>
      </w:r>
      <w:r w:rsidR="00B564E4" w:rsidRPr="00FE209E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FE209E">
        <w:rPr>
          <w:rFonts w:ascii="Arial" w:hAnsi="Arial" w:cs="Arial"/>
          <w:color w:val="0000FF"/>
          <w:sz w:val="22"/>
          <w:szCs w:val="22"/>
          <w:lang w:val="fr-CH" w:eastAsia="de-CH"/>
        </w:rPr>
        <w:t>rt. 449c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FE209E">
        <w:rPr>
          <w:rFonts w:ascii="Arial" w:hAnsi="Arial" w:cs="Arial"/>
          <w:sz w:val="22"/>
          <w:szCs w:val="22"/>
          <w:lang w:val="fr-CH" w:eastAsia="de-CH"/>
        </w:rPr>
        <w:br/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>Droit et obligation d’aviser l‘autorité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3535B9">
        <w:rPr>
          <w:rFonts w:ascii="Arial" w:hAnsi="Arial" w:cs="Arial"/>
          <w:sz w:val="22"/>
          <w:szCs w:val="22"/>
          <w:lang w:val="fr-CH" w:eastAsia="de-CH"/>
        </w:rPr>
        <w:t>e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>xamen de la compétence et solution de conflits de compétence /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>ordonnance de mesures provisionnelles /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3535B9">
        <w:rPr>
          <w:rFonts w:ascii="Arial" w:hAnsi="Arial" w:cs="Arial"/>
          <w:sz w:val="22"/>
          <w:szCs w:val="22"/>
          <w:lang w:val="fr-CH" w:eastAsia="de-CH"/>
        </w:rPr>
        <w:t>maxime d’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>office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>obligation d’entendre la personne concernée /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 xml:space="preserve">obligation de </w:t>
      </w:r>
      <w:r w:rsidR="003535B9" w:rsidRPr="00FE209E">
        <w:rPr>
          <w:rFonts w:ascii="Arial" w:hAnsi="Arial" w:cs="Arial"/>
          <w:sz w:val="22"/>
          <w:szCs w:val="22"/>
          <w:lang w:val="fr-CH" w:eastAsia="de-CH"/>
        </w:rPr>
        <w:t>collaborer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 xml:space="preserve"> des personnes partie à la procédure et des tiers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 xml:space="preserve">et exceptions à l’obligation de </w:t>
      </w:r>
      <w:r w:rsidR="003535B9" w:rsidRPr="00FE209E">
        <w:rPr>
          <w:rFonts w:ascii="Arial" w:hAnsi="Arial" w:cs="Arial"/>
          <w:sz w:val="22"/>
          <w:szCs w:val="22"/>
          <w:lang w:val="fr-CH" w:eastAsia="de-CH"/>
        </w:rPr>
        <w:t>collaborer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FE209E" w:rsidRPr="00FE209E">
        <w:rPr>
          <w:rFonts w:ascii="Arial" w:hAnsi="Arial" w:cs="Arial"/>
          <w:sz w:val="22"/>
          <w:szCs w:val="22"/>
          <w:lang w:val="fr-CH" w:eastAsia="de-CH"/>
        </w:rPr>
        <w:t xml:space="preserve">expertise psychiatrique – placement à cet effet 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FE209E">
        <w:rPr>
          <w:rFonts w:ascii="Arial" w:hAnsi="Arial" w:cs="Arial"/>
          <w:sz w:val="22"/>
          <w:szCs w:val="22"/>
          <w:lang w:val="fr-CH" w:eastAsia="de-CH"/>
        </w:rPr>
        <w:t>curateur de représentation dans la procédure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4E6BE6">
        <w:rPr>
          <w:rFonts w:ascii="Arial" w:hAnsi="Arial" w:cs="Arial"/>
          <w:sz w:val="22"/>
          <w:szCs w:val="22"/>
          <w:lang w:val="fr-CH" w:eastAsia="de-CH"/>
        </w:rPr>
        <w:t>droit de consulter le dossier</w:t>
      </w:r>
      <w:r w:rsidR="00ED437E" w:rsidRPr="00FE209E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4E6BE6">
        <w:rPr>
          <w:rFonts w:ascii="Arial" w:hAnsi="Arial" w:cs="Arial"/>
          <w:sz w:val="22"/>
          <w:szCs w:val="22"/>
          <w:lang w:val="fr-CH" w:eastAsia="de-CH"/>
        </w:rPr>
        <w:t>obligation de communiquer à l’office de l’état civil</w:t>
      </w:r>
      <w:r w:rsidR="003535B9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4E6BE6" w:rsidRDefault="004E6BE6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4E6BE6">
        <w:rPr>
          <w:rFonts w:ascii="Arial" w:hAnsi="Arial" w:cs="Arial"/>
          <w:b/>
          <w:bCs/>
          <w:sz w:val="22"/>
          <w:szCs w:val="22"/>
          <w:lang w:val="fr-CH" w:eastAsia="en-US"/>
        </w:rPr>
        <w:lastRenderedPageBreak/>
        <w:t>Procédure devant l’instance de recours</w:t>
      </w:r>
      <w:r w:rsidR="00FF6D80" w:rsidRPr="004E6BE6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4E6BE6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4E6BE6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450 – </w:t>
      </w:r>
      <w:r w:rsidRPr="004E6BE6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4E6BE6">
        <w:rPr>
          <w:rFonts w:ascii="Arial" w:hAnsi="Arial" w:cs="Arial"/>
          <w:color w:val="0000FF"/>
          <w:sz w:val="22"/>
          <w:szCs w:val="22"/>
          <w:lang w:val="fr-CH" w:eastAsia="de-CH"/>
        </w:rPr>
        <w:t>rt. 450e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4E6BE6">
        <w:rPr>
          <w:rFonts w:ascii="Arial" w:hAnsi="Arial" w:cs="Arial"/>
          <w:sz w:val="22"/>
          <w:szCs w:val="22"/>
          <w:lang w:val="fr-CH" w:eastAsia="de-CH"/>
        </w:rPr>
        <w:br/>
      </w:r>
      <w:r w:rsidRPr="004E6BE6">
        <w:rPr>
          <w:rFonts w:ascii="Arial" w:hAnsi="Arial" w:cs="Arial"/>
          <w:sz w:val="22"/>
          <w:szCs w:val="22"/>
          <w:lang w:val="fr-CH" w:eastAsia="de-CH"/>
        </w:rPr>
        <w:t>Recours contre les décisions de l’APEA auprès du juge compétent (désigné par le canton)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Pr="004E6BE6">
        <w:rPr>
          <w:rFonts w:ascii="Arial" w:hAnsi="Arial" w:cs="Arial"/>
          <w:sz w:val="22"/>
          <w:szCs w:val="22"/>
          <w:lang w:val="fr-CH" w:eastAsia="de-CH"/>
        </w:rPr>
        <w:t>personnes ayant la qualité pour recourir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 /</w:t>
      </w:r>
      <w:r w:rsidRPr="004E6BE6">
        <w:rPr>
          <w:rFonts w:ascii="Arial" w:hAnsi="Arial" w:cs="Arial"/>
          <w:sz w:val="22"/>
          <w:szCs w:val="22"/>
          <w:lang w:val="fr-CH" w:eastAsia="de-CH"/>
        </w:rPr>
        <w:t>motifs de recours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Pr="004E6BE6">
        <w:rPr>
          <w:rFonts w:ascii="Arial" w:hAnsi="Arial" w:cs="Arial"/>
          <w:sz w:val="22"/>
          <w:szCs w:val="22"/>
          <w:lang w:val="fr-CH" w:eastAsia="de-CH"/>
        </w:rPr>
        <w:t>délai 30 jours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; 10 </w:t>
      </w:r>
      <w:r w:rsidRPr="004E6BE6">
        <w:rPr>
          <w:rFonts w:ascii="Arial" w:hAnsi="Arial" w:cs="Arial"/>
          <w:sz w:val="22"/>
          <w:szCs w:val="22"/>
          <w:lang w:val="fr-CH" w:eastAsia="de-CH"/>
        </w:rPr>
        <w:t xml:space="preserve">jours en </w:t>
      </w:r>
      <w:r w:rsidR="00814EFB">
        <w:rPr>
          <w:rFonts w:ascii="Arial" w:hAnsi="Arial" w:cs="Arial"/>
          <w:sz w:val="22"/>
          <w:szCs w:val="22"/>
          <w:lang w:val="fr-CH" w:eastAsia="de-CH"/>
        </w:rPr>
        <w:t>cas de</w:t>
      </w:r>
      <w:r w:rsidRPr="004E6BE6">
        <w:rPr>
          <w:rFonts w:ascii="Arial" w:hAnsi="Arial" w:cs="Arial"/>
          <w:sz w:val="22"/>
          <w:szCs w:val="22"/>
          <w:lang w:val="fr-CH" w:eastAsia="de-CH"/>
        </w:rPr>
        <w:t xml:space="preserve"> recours contre le placement à des fins d</w:t>
      </w:r>
      <w:r w:rsidR="00A31166">
        <w:rPr>
          <w:rFonts w:ascii="Arial" w:hAnsi="Arial" w:cs="Arial"/>
          <w:sz w:val="22"/>
          <w:szCs w:val="22"/>
          <w:lang w:val="fr-CH" w:eastAsia="de-CH"/>
        </w:rPr>
        <w:t>’</w:t>
      </w:r>
      <w:r w:rsidRPr="004E6BE6">
        <w:rPr>
          <w:rFonts w:ascii="Arial" w:hAnsi="Arial" w:cs="Arial"/>
          <w:sz w:val="22"/>
          <w:szCs w:val="22"/>
          <w:lang w:val="fr-CH" w:eastAsia="de-CH"/>
        </w:rPr>
        <w:t>assistance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Pr="004E6BE6">
        <w:rPr>
          <w:rFonts w:ascii="Arial" w:hAnsi="Arial" w:cs="Arial"/>
          <w:sz w:val="22"/>
          <w:szCs w:val="22"/>
          <w:lang w:val="fr-CH" w:eastAsia="de-CH"/>
        </w:rPr>
        <w:t>principe de l’effet suspensif et possibilité de le retirer / consultation de l’APEA et possibilité pour cette dernièr</w:t>
      </w:r>
      <w:r>
        <w:rPr>
          <w:rFonts w:ascii="Arial" w:hAnsi="Arial" w:cs="Arial"/>
          <w:sz w:val="22"/>
          <w:szCs w:val="22"/>
          <w:lang w:val="fr-CH" w:eastAsia="de-CH"/>
        </w:rPr>
        <w:t>e</w:t>
      </w:r>
      <w:r w:rsidRPr="004E6BE6">
        <w:rPr>
          <w:rFonts w:ascii="Arial" w:hAnsi="Arial" w:cs="Arial"/>
          <w:sz w:val="22"/>
          <w:szCs w:val="22"/>
          <w:lang w:val="fr-CH" w:eastAsia="de-CH"/>
        </w:rPr>
        <w:t xml:space="preserve"> de reconsidérer la décision 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Pr="004E6BE6">
        <w:rPr>
          <w:rFonts w:ascii="Arial" w:hAnsi="Arial" w:cs="Arial"/>
          <w:sz w:val="22"/>
          <w:szCs w:val="22"/>
          <w:lang w:val="fr-CH" w:eastAsia="de-CH"/>
        </w:rPr>
        <w:t xml:space="preserve">règles </w:t>
      </w:r>
      <w:r>
        <w:rPr>
          <w:rFonts w:ascii="Arial" w:hAnsi="Arial" w:cs="Arial"/>
          <w:sz w:val="22"/>
          <w:szCs w:val="22"/>
          <w:lang w:val="fr-CH" w:eastAsia="de-CH"/>
        </w:rPr>
        <w:t xml:space="preserve">particulières de procédure en cas de recours contre une décision de </w:t>
      </w:r>
      <w:r w:rsidR="00814EFB">
        <w:rPr>
          <w:rFonts w:ascii="Arial" w:hAnsi="Arial" w:cs="Arial"/>
          <w:sz w:val="22"/>
          <w:szCs w:val="22"/>
          <w:lang w:val="fr-CH" w:eastAsia="de-CH"/>
        </w:rPr>
        <w:t>placement</w:t>
      </w:r>
      <w:r>
        <w:rPr>
          <w:rFonts w:ascii="Arial" w:hAnsi="Arial" w:cs="Arial"/>
          <w:sz w:val="22"/>
          <w:szCs w:val="22"/>
          <w:lang w:val="fr-CH" w:eastAsia="de-CH"/>
        </w:rPr>
        <w:t xml:space="preserve"> à des fins d’assistance</w:t>
      </w:r>
      <w:r w:rsidR="00814EFB">
        <w:rPr>
          <w:rFonts w:ascii="Arial" w:hAnsi="Arial" w:cs="Arial"/>
          <w:sz w:val="22"/>
          <w:szCs w:val="22"/>
          <w:lang w:val="fr-CH" w:eastAsia="de-CH"/>
        </w:rPr>
        <w:t>.</w:t>
      </w:r>
      <w:r w:rsidR="00ED437E" w:rsidRPr="004E6BE6">
        <w:rPr>
          <w:rFonts w:ascii="Arial" w:hAnsi="Arial" w:cs="Arial"/>
          <w:sz w:val="22"/>
          <w:szCs w:val="22"/>
          <w:lang w:val="fr-CH" w:eastAsia="de-CH"/>
        </w:rPr>
        <w:t xml:space="preserve"> </w:t>
      </w:r>
    </w:p>
    <w:p w:rsidR="00ED437E" w:rsidRPr="00A31166" w:rsidRDefault="004E6BE6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A31166">
        <w:rPr>
          <w:rFonts w:ascii="Arial" w:hAnsi="Arial" w:cs="Arial"/>
          <w:b/>
          <w:bCs/>
          <w:sz w:val="22"/>
          <w:szCs w:val="22"/>
          <w:lang w:val="fr-CH" w:eastAsia="en-US"/>
        </w:rPr>
        <w:t>Disposition commune</w:t>
      </w:r>
      <w:r w:rsidR="00FF6D80" w:rsidRPr="00A31166">
        <w:rPr>
          <w:rFonts w:ascii="Arial" w:hAnsi="Arial" w:cs="Arial"/>
          <w:b/>
          <w:bCs/>
          <w:sz w:val="22"/>
          <w:szCs w:val="22"/>
          <w:lang w:val="fr-CH" w:eastAsia="en-US"/>
        </w:rPr>
        <w:t xml:space="preserve"> </w:t>
      </w:r>
      <w:r w:rsidRPr="00A31166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31166">
        <w:rPr>
          <w:rFonts w:ascii="Arial" w:hAnsi="Arial" w:cs="Arial"/>
          <w:color w:val="0000FF"/>
          <w:sz w:val="22"/>
          <w:szCs w:val="22"/>
          <w:lang w:val="fr-CH" w:eastAsia="de-CH"/>
        </w:rPr>
        <w:t>rt. 450f</w:t>
      </w:r>
      <w:r w:rsidR="00ED437E" w:rsidRPr="00A31166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A31166">
        <w:rPr>
          <w:rFonts w:ascii="Arial" w:hAnsi="Arial" w:cs="Arial"/>
          <w:sz w:val="22"/>
          <w:szCs w:val="22"/>
          <w:lang w:val="fr-CH" w:eastAsia="de-CH"/>
        </w:rPr>
        <w:br/>
      </w:r>
      <w:r w:rsidR="00A31166" w:rsidRPr="00A31166">
        <w:rPr>
          <w:rFonts w:ascii="Arial" w:hAnsi="Arial" w:cs="Arial"/>
          <w:sz w:val="22"/>
          <w:szCs w:val="22"/>
          <w:lang w:val="fr-CH" w:eastAsia="de-CH"/>
        </w:rPr>
        <w:t>Renvoi à la procédure civile</w:t>
      </w:r>
      <w:r w:rsidR="00A31166">
        <w:rPr>
          <w:rFonts w:ascii="Arial" w:hAnsi="Arial" w:cs="Arial"/>
          <w:sz w:val="22"/>
          <w:szCs w:val="22"/>
          <w:lang w:val="fr-CH" w:eastAsia="de-CH"/>
        </w:rPr>
        <w:t>,</w:t>
      </w:r>
      <w:r w:rsidR="00A31166" w:rsidRPr="00A31166">
        <w:rPr>
          <w:rFonts w:ascii="Arial" w:hAnsi="Arial" w:cs="Arial"/>
          <w:sz w:val="22"/>
          <w:szCs w:val="22"/>
          <w:lang w:val="fr-CH" w:eastAsia="de-CH"/>
        </w:rPr>
        <w:t xml:space="preserve"> si les cantons n’en disposent pas autrement</w:t>
      </w:r>
      <w:r w:rsidR="00814EFB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A31166" w:rsidRDefault="00A31166" w:rsidP="00FF6D80">
      <w:pPr>
        <w:keepNext/>
        <w:keepLines/>
        <w:spacing w:after="120"/>
        <w:ind w:left="426"/>
        <w:outlineLvl w:val="2"/>
        <w:rPr>
          <w:rFonts w:ascii="Arial" w:hAnsi="Arial" w:cs="Arial"/>
          <w:sz w:val="22"/>
          <w:szCs w:val="22"/>
          <w:lang w:val="fr-CH" w:eastAsia="de-CH"/>
        </w:rPr>
      </w:pPr>
      <w:r w:rsidRPr="00A31166">
        <w:rPr>
          <w:rFonts w:ascii="Arial" w:hAnsi="Arial" w:cs="Arial"/>
          <w:b/>
          <w:bCs/>
          <w:sz w:val="22"/>
          <w:szCs w:val="22"/>
          <w:lang w:val="fr-CH" w:eastAsia="en-US"/>
        </w:rPr>
        <w:t>Exécution</w:t>
      </w:r>
      <w:r w:rsidR="00FF6D80" w:rsidRPr="00A31166">
        <w:rPr>
          <w:rFonts w:ascii="Arial" w:hAnsi="Arial" w:cs="Arial"/>
          <w:bCs/>
          <w:sz w:val="22"/>
          <w:szCs w:val="22"/>
          <w:lang w:val="fr-CH" w:eastAsia="en-US"/>
        </w:rPr>
        <w:t xml:space="preserve"> </w:t>
      </w:r>
      <w:r w:rsidRPr="00A31166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31166">
        <w:rPr>
          <w:rFonts w:ascii="Arial" w:hAnsi="Arial" w:cs="Arial"/>
          <w:color w:val="0000FF"/>
          <w:sz w:val="22"/>
          <w:szCs w:val="22"/>
          <w:lang w:val="fr-CH" w:eastAsia="de-CH"/>
        </w:rPr>
        <w:t>rt. 450g</w:t>
      </w:r>
      <w:r w:rsidR="00ED437E" w:rsidRPr="00A31166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A31166">
        <w:rPr>
          <w:rFonts w:ascii="Arial" w:hAnsi="Arial" w:cs="Arial"/>
          <w:sz w:val="22"/>
          <w:szCs w:val="22"/>
          <w:lang w:val="fr-CH" w:eastAsia="de-CH"/>
        </w:rPr>
        <w:br/>
      </w:r>
      <w:r w:rsidR="00814EFB">
        <w:rPr>
          <w:rFonts w:ascii="Arial" w:hAnsi="Arial" w:cs="Arial"/>
          <w:sz w:val="22"/>
          <w:szCs w:val="22"/>
          <w:lang w:val="fr-CH" w:eastAsia="de-CH"/>
        </w:rPr>
        <w:t>Exécution par l’</w:t>
      </w:r>
      <w:r w:rsidRPr="00A31166">
        <w:rPr>
          <w:rFonts w:ascii="Arial" w:hAnsi="Arial" w:cs="Arial"/>
          <w:sz w:val="22"/>
          <w:szCs w:val="22"/>
          <w:lang w:val="fr-CH" w:eastAsia="de-CH"/>
        </w:rPr>
        <w:t>APEA</w:t>
      </w:r>
      <w:r w:rsidR="00ED437E" w:rsidRPr="00A31166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Pr="00A31166">
        <w:rPr>
          <w:rFonts w:ascii="Arial" w:hAnsi="Arial" w:cs="Arial"/>
          <w:sz w:val="22"/>
          <w:szCs w:val="22"/>
          <w:lang w:val="fr-CH" w:eastAsia="de-CH"/>
        </w:rPr>
        <w:t>possibilité de demander le concours de la police en cas de nécessité</w:t>
      </w:r>
      <w:r w:rsidR="00ED437E" w:rsidRPr="00A31166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>
        <w:rPr>
          <w:rFonts w:ascii="Arial" w:hAnsi="Arial" w:cs="Arial"/>
          <w:sz w:val="22"/>
          <w:szCs w:val="22"/>
          <w:lang w:val="fr-CH" w:eastAsia="de-CH"/>
        </w:rPr>
        <w:t>en général les mesures de contrainte directes doivent faire l’objet d’un avertissement</w:t>
      </w:r>
      <w:r w:rsidR="00814EFB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A31166" w:rsidRDefault="00ED437E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sz w:val="22"/>
          <w:szCs w:val="22"/>
          <w:lang w:val="fr-CH" w:eastAsia="de-CH"/>
        </w:rPr>
      </w:pPr>
    </w:p>
    <w:p w:rsidR="00ED437E" w:rsidRPr="00A224C5" w:rsidRDefault="00A31166" w:rsidP="00FF6D80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 w:cs="Arial"/>
          <w:sz w:val="22"/>
          <w:szCs w:val="22"/>
          <w:lang w:val="fr-CH" w:eastAsia="de-CH"/>
        </w:rPr>
      </w:pPr>
      <w:r w:rsidRPr="00A224C5">
        <w:rPr>
          <w:rFonts w:ascii="Arial" w:hAnsi="Arial" w:cs="Arial"/>
          <w:b/>
          <w:sz w:val="22"/>
          <w:szCs w:val="22"/>
          <w:lang w:val="fr-CH" w:eastAsia="de-CH"/>
        </w:rPr>
        <w:t>Effets à l’égard de tiers et obligation de collaborer</w:t>
      </w:r>
      <w:r w:rsidR="00FF6D80" w:rsidRPr="00A224C5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Pr="00A224C5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224C5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451 – </w:t>
      </w:r>
      <w:r w:rsidRPr="00A224C5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224C5">
        <w:rPr>
          <w:rFonts w:ascii="Arial" w:hAnsi="Arial" w:cs="Arial"/>
          <w:color w:val="0000FF"/>
          <w:sz w:val="22"/>
          <w:szCs w:val="22"/>
          <w:lang w:val="fr-CH" w:eastAsia="de-CH"/>
        </w:rPr>
        <w:t>rt. 453</w:t>
      </w:r>
      <w:r w:rsidR="00ED437E" w:rsidRPr="00A224C5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Pr="00A224C5">
        <w:rPr>
          <w:rFonts w:ascii="Arial" w:hAnsi="Arial" w:cs="Arial"/>
          <w:sz w:val="22"/>
          <w:szCs w:val="22"/>
          <w:lang w:val="fr-CH" w:eastAsia="de-CH"/>
        </w:rPr>
        <w:t>L’obligation de garder le secret en tant que principe</w:t>
      </w:r>
      <w:r w:rsidR="00ED437E" w:rsidRPr="00A224C5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2F079C" w:rsidRPr="00A224C5">
        <w:rPr>
          <w:rFonts w:ascii="Arial" w:hAnsi="Arial" w:cs="Arial"/>
          <w:sz w:val="22"/>
          <w:szCs w:val="22"/>
          <w:lang w:val="fr-CH" w:eastAsia="de-CH"/>
        </w:rPr>
        <w:t xml:space="preserve">renseignements donnés par l’APEA sur l’existence d’une mesure de protection de l’adulte et ses effets </w:t>
      </w:r>
      <w:r w:rsidRPr="00A224C5">
        <w:rPr>
          <w:rFonts w:ascii="Arial" w:hAnsi="Arial" w:cs="Arial"/>
          <w:sz w:val="22"/>
          <w:szCs w:val="22"/>
          <w:lang w:val="fr-CH" w:eastAsia="de-CH"/>
        </w:rPr>
        <w:t xml:space="preserve">aux tiers </w:t>
      </w:r>
      <w:r w:rsidR="002F079C" w:rsidRPr="00A224C5">
        <w:rPr>
          <w:rFonts w:ascii="Arial" w:hAnsi="Arial" w:cs="Arial"/>
          <w:sz w:val="22"/>
          <w:szCs w:val="22"/>
          <w:lang w:val="fr-CH" w:eastAsia="de-CH"/>
        </w:rPr>
        <w:t xml:space="preserve">qui rendent un intérêt vraisemblable </w:t>
      </w:r>
      <w:r w:rsidR="00ED437E" w:rsidRPr="00A224C5">
        <w:rPr>
          <w:rFonts w:ascii="Arial" w:hAnsi="Arial" w:cs="Arial"/>
          <w:sz w:val="22"/>
          <w:szCs w:val="22"/>
          <w:lang w:val="fr-CH" w:eastAsia="de-CH"/>
        </w:rPr>
        <w:t>(</w:t>
      </w:r>
      <w:r w:rsidR="002F079C" w:rsidRPr="00A224C5">
        <w:rPr>
          <w:rFonts w:ascii="Arial" w:hAnsi="Arial" w:cs="Arial"/>
          <w:sz w:val="22"/>
          <w:szCs w:val="22"/>
          <w:lang w:val="fr-CH" w:eastAsia="de-CH"/>
        </w:rPr>
        <w:t>p. ex. celles qui désirent conclure un contrat avec la personne concernée) / effets de la mesure également envers le tiers de bonne foi, mais obligation de communiquer au</w:t>
      </w:r>
      <w:r w:rsidR="00A224C5">
        <w:rPr>
          <w:rFonts w:ascii="Arial" w:hAnsi="Arial" w:cs="Arial"/>
          <w:sz w:val="22"/>
          <w:szCs w:val="22"/>
          <w:lang w:val="fr-CH" w:eastAsia="de-CH"/>
        </w:rPr>
        <w:t>x</w:t>
      </w:r>
      <w:r w:rsidR="002F079C" w:rsidRPr="00A224C5">
        <w:rPr>
          <w:rFonts w:ascii="Arial" w:hAnsi="Arial" w:cs="Arial"/>
          <w:sz w:val="22"/>
          <w:szCs w:val="22"/>
          <w:lang w:val="fr-CH" w:eastAsia="de-CH"/>
        </w:rPr>
        <w:t xml:space="preserve"> débiteur</w:t>
      </w:r>
      <w:r w:rsidR="00A224C5">
        <w:rPr>
          <w:rFonts w:ascii="Arial" w:hAnsi="Arial" w:cs="Arial"/>
          <w:sz w:val="22"/>
          <w:szCs w:val="22"/>
          <w:lang w:val="fr-CH" w:eastAsia="de-CH"/>
        </w:rPr>
        <w:t>s</w:t>
      </w:r>
      <w:r w:rsidR="002F079C" w:rsidRPr="00A224C5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A224C5" w:rsidRPr="00A224C5">
        <w:rPr>
          <w:rFonts w:ascii="Arial" w:hAnsi="Arial" w:cs="Arial"/>
          <w:sz w:val="22"/>
          <w:szCs w:val="22"/>
          <w:lang w:val="fr-CH" w:eastAsia="de-CH"/>
        </w:rPr>
        <w:t>de la personne concernée lorsque qu’il</w:t>
      </w:r>
      <w:r w:rsidR="00A224C5">
        <w:rPr>
          <w:rFonts w:ascii="Arial" w:hAnsi="Arial" w:cs="Arial"/>
          <w:sz w:val="22"/>
          <w:szCs w:val="22"/>
          <w:lang w:val="fr-CH" w:eastAsia="de-CH"/>
        </w:rPr>
        <w:t>s</w:t>
      </w:r>
      <w:r w:rsidR="00A224C5" w:rsidRPr="00A224C5">
        <w:rPr>
          <w:rFonts w:ascii="Arial" w:hAnsi="Arial" w:cs="Arial"/>
          <w:sz w:val="22"/>
          <w:szCs w:val="22"/>
          <w:lang w:val="fr-CH" w:eastAsia="de-CH"/>
        </w:rPr>
        <w:t xml:space="preserve"> ne peu</w:t>
      </w:r>
      <w:r w:rsidR="00A224C5">
        <w:rPr>
          <w:rFonts w:ascii="Arial" w:hAnsi="Arial" w:cs="Arial"/>
          <w:sz w:val="22"/>
          <w:szCs w:val="22"/>
          <w:lang w:val="fr-CH" w:eastAsia="de-CH"/>
        </w:rPr>
        <w:t>vent</w:t>
      </w:r>
      <w:r w:rsidR="00A224C5" w:rsidRPr="00A224C5">
        <w:rPr>
          <w:rFonts w:ascii="Arial" w:hAnsi="Arial" w:cs="Arial"/>
          <w:sz w:val="22"/>
          <w:szCs w:val="22"/>
          <w:lang w:val="fr-CH" w:eastAsia="de-CH"/>
        </w:rPr>
        <w:t xml:space="preserve"> se libérer valablement qu’en mains du curateur / lorsque la personne concernée s’est faussement donnée comme capable, elle répond envers les tiers du dommage qu’elle leur a causé </w:t>
      </w:r>
      <w:r w:rsidR="00A224C5">
        <w:rPr>
          <w:rFonts w:ascii="Arial" w:hAnsi="Arial" w:cs="Arial"/>
          <w:sz w:val="22"/>
          <w:szCs w:val="22"/>
          <w:lang w:val="fr-CH" w:eastAsia="de-CH"/>
        </w:rPr>
        <w:t xml:space="preserve">(v. aussi art. 19b al. 2) </w:t>
      </w:r>
      <w:r w:rsidR="00A87DB4">
        <w:rPr>
          <w:rFonts w:ascii="Arial" w:hAnsi="Arial" w:cs="Arial"/>
          <w:sz w:val="22"/>
          <w:szCs w:val="22"/>
          <w:lang w:val="fr-CH" w:eastAsia="de-CH"/>
        </w:rPr>
        <w:t xml:space="preserve">/ </w:t>
      </w:r>
      <w:r w:rsidR="00A224C5">
        <w:rPr>
          <w:rFonts w:ascii="Arial" w:hAnsi="Arial" w:cs="Arial"/>
          <w:sz w:val="22"/>
          <w:szCs w:val="22"/>
          <w:lang w:val="fr-CH" w:eastAsia="de-CH"/>
        </w:rPr>
        <w:t xml:space="preserve">obligation de collaborer avec les services concernés et la police si la personne se met gravement en danger ou </w:t>
      </w:r>
      <w:r w:rsidR="00A87DB4">
        <w:rPr>
          <w:rFonts w:ascii="Arial" w:hAnsi="Arial" w:cs="Arial"/>
          <w:sz w:val="22"/>
          <w:szCs w:val="22"/>
          <w:lang w:val="fr-CH" w:eastAsia="de-CH"/>
        </w:rPr>
        <w:t xml:space="preserve">s’il y a une risque réel </w:t>
      </w:r>
      <w:r w:rsidR="00A224C5">
        <w:rPr>
          <w:rFonts w:ascii="Arial" w:hAnsi="Arial" w:cs="Arial"/>
          <w:sz w:val="22"/>
          <w:szCs w:val="22"/>
          <w:lang w:val="fr-CH" w:eastAsia="de-CH"/>
        </w:rPr>
        <w:t xml:space="preserve">qu’elle commette un crime ou un délit qui cause un grave dommage à autrui / </w:t>
      </w:r>
      <w:r w:rsidR="00A87DB4">
        <w:rPr>
          <w:rFonts w:ascii="Arial" w:hAnsi="Arial" w:cs="Arial"/>
          <w:sz w:val="22"/>
          <w:szCs w:val="22"/>
          <w:lang w:val="fr-CH" w:eastAsia="de-CH"/>
        </w:rPr>
        <w:t>dans de telles situations, droit des personnes liées par le secret professionnel de communiquer les informations nécessaires (justification légale de la violation du secret professionnel)</w:t>
      </w:r>
      <w:r w:rsidR="00814EFB"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ED437E" w:rsidRPr="00A224C5" w:rsidRDefault="00ED437E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 w:cs="Arial"/>
          <w:sz w:val="22"/>
          <w:szCs w:val="22"/>
          <w:lang w:val="fr-CH" w:eastAsia="de-CH"/>
        </w:rPr>
      </w:pPr>
    </w:p>
    <w:p w:rsidR="00ED437E" w:rsidRPr="00A751A4" w:rsidRDefault="00814EFB" w:rsidP="00E37F5D">
      <w:pPr>
        <w:keepNext/>
        <w:overflowPunct w:val="0"/>
        <w:autoSpaceDE w:val="0"/>
        <w:autoSpaceDN w:val="0"/>
        <w:adjustRightInd w:val="0"/>
        <w:spacing w:after="120"/>
        <w:ind w:left="426"/>
        <w:textAlignment w:val="baseline"/>
        <w:outlineLvl w:val="1"/>
        <w:rPr>
          <w:rFonts w:ascii="Arial" w:hAnsi="Arial"/>
          <w:sz w:val="18"/>
          <w:szCs w:val="18"/>
          <w:lang w:val="fr-CH" w:eastAsia="de-CH"/>
        </w:rPr>
      </w:pPr>
      <w:r>
        <w:rPr>
          <w:rFonts w:ascii="Arial" w:hAnsi="Arial" w:cs="Arial"/>
          <w:b/>
          <w:sz w:val="22"/>
          <w:szCs w:val="22"/>
          <w:lang w:val="fr-CH" w:eastAsia="de-CH"/>
        </w:rPr>
        <w:t>Responsabilit</w:t>
      </w:r>
      <w:r w:rsidR="00A87DB4" w:rsidRPr="00A751A4">
        <w:rPr>
          <w:rFonts w:ascii="Arial" w:hAnsi="Arial" w:cs="Arial"/>
          <w:b/>
          <w:sz w:val="22"/>
          <w:szCs w:val="22"/>
          <w:lang w:val="fr-CH" w:eastAsia="de-CH"/>
        </w:rPr>
        <w:t>é</w:t>
      </w:r>
      <w:r w:rsidR="00FF6D80" w:rsidRPr="00A751A4">
        <w:rPr>
          <w:rFonts w:ascii="Arial" w:hAnsi="Arial" w:cs="Arial"/>
          <w:b/>
          <w:sz w:val="22"/>
          <w:szCs w:val="22"/>
          <w:lang w:val="fr-CH" w:eastAsia="de-CH"/>
        </w:rPr>
        <w:t xml:space="preserve"> </w:t>
      </w:r>
      <w:r w:rsidR="00A87DB4" w:rsidRPr="00A751A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751A4">
        <w:rPr>
          <w:rFonts w:ascii="Arial" w:hAnsi="Arial" w:cs="Arial"/>
          <w:color w:val="0000FF"/>
          <w:sz w:val="22"/>
          <w:szCs w:val="22"/>
          <w:lang w:val="fr-CH" w:eastAsia="de-CH"/>
        </w:rPr>
        <w:t xml:space="preserve">rt. 454 – </w:t>
      </w:r>
      <w:r w:rsidR="00A87DB4" w:rsidRPr="00A751A4">
        <w:rPr>
          <w:rFonts w:ascii="Arial" w:hAnsi="Arial" w:cs="Arial"/>
          <w:color w:val="0000FF"/>
          <w:sz w:val="22"/>
          <w:szCs w:val="22"/>
          <w:lang w:val="fr-CH" w:eastAsia="de-CH"/>
        </w:rPr>
        <w:t>a</w:t>
      </w:r>
      <w:r w:rsidR="00ED437E" w:rsidRPr="00A751A4">
        <w:rPr>
          <w:rFonts w:ascii="Arial" w:hAnsi="Arial" w:cs="Arial"/>
          <w:color w:val="0000FF"/>
          <w:sz w:val="22"/>
          <w:szCs w:val="22"/>
          <w:lang w:val="fr-CH" w:eastAsia="de-CH"/>
        </w:rPr>
        <w:t>rt. 456</w:t>
      </w:r>
      <w:r w:rsidR="00ED437E" w:rsidRPr="00A751A4">
        <w:rPr>
          <w:rFonts w:ascii="Arial" w:hAnsi="Arial" w:cs="Arial"/>
          <w:sz w:val="22"/>
          <w:szCs w:val="22"/>
          <w:lang w:val="fr-CH" w:eastAsia="de-CH"/>
        </w:rPr>
        <w:t xml:space="preserve">: </w:t>
      </w:r>
      <w:r w:rsidR="00FF6D80" w:rsidRPr="00A751A4">
        <w:rPr>
          <w:rFonts w:ascii="Arial" w:hAnsi="Arial" w:cs="Arial"/>
          <w:sz w:val="22"/>
          <w:szCs w:val="22"/>
          <w:lang w:val="fr-CH" w:eastAsia="de-CH"/>
        </w:rPr>
        <w:br/>
      </w:r>
      <w:r w:rsidR="00A87DB4" w:rsidRPr="00A751A4">
        <w:rPr>
          <w:rFonts w:ascii="Arial" w:hAnsi="Arial" w:cs="Arial"/>
          <w:sz w:val="22"/>
          <w:szCs w:val="22"/>
          <w:lang w:val="fr-CH" w:eastAsia="de-CH"/>
        </w:rPr>
        <w:t xml:space="preserve">Droit à des dommages-intérêts, éventuellement à une indemnité pour tort moral, de la personne qui dans le cadre </w:t>
      </w:r>
      <w:r>
        <w:rPr>
          <w:rFonts w:ascii="Arial" w:hAnsi="Arial" w:cs="Arial"/>
          <w:sz w:val="22"/>
          <w:szCs w:val="22"/>
          <w:lang w:val="fr-CH" w:eastAsia="de-CH"/>
        </w:rPr>
        <w:t>d’une mesure de protection de l’</w:t>
      </w:r>
      <w:r w:rsidR="00A751A4" w:rsidRPr="00A751A4">
        <w:rPr>
          <w:rFonts w:ascii="Arial" w:hAnsi="Arial" w:cs="Arial"/>
          <w:sz w:val="22"/>
          <w:szCs w:val="22"/>
          <w:lang w:val="fr-CH" w:eastAsia="de-CH"/>
        </w:rPr>
        <w:t>adulte</w:t>
      </w:r>
      <w:r w:rsidR="00A87DB4" w:rsidRPr="00A751A4">
        <w:rPr>
          <w:rFonts w:ascii="Arial" w:hAnsi="Arial" w:cs="Arial"/>
          <w:sz w:val="22"/>
          <w:szCs w:val="22"/>
          <w:lang w:val="fr-CH" w:eastAsia="de-CH"/>
        </w:rPr>
        <w:t xml:space="preserve"> a été lésée par un acte ou une omission illicite </w:t>
      </w:r>
      <w:r w:rsidR="00A751A4" w:rsidRPr="00A751A4">
        <w:rPr>
          <w:rFonts w:ascii="Arial" w:hAnsi="Arial" w:cs="Arial"/>
          <w:sz w:val="22"/>
          <w:szCs w:val="22"/>
          <w:lang w:val="fr-CH" w:eastAsia="de-CH"/>
        </w:rPr>
        <w:t>/</w:t>
      </w:r>
      <w:r w:rsidR="00ED437E" w:rsidRPr="00A751A4">
        <w:rPr>
          <w:rFonts w:ascii="Arial" w:hAnsi="Arial" w:cs="Arial"/>
          <w:sz w:val="22"/>
          <w:szCs w:val="22"/>
          <w:lang w:val="fr-CH" w:eastAsia="de-CH"/>
        </w:rPr>
        <w:t xml:space="preserve"> </w:t>
      </w:r>
      <w:r w:rsidR="00A751A4" w:rsidRPr="00A751A4">
        <w:rPr>
          <w:rFonts w:ascii="Arial" w:hAnsi="Arial" w:cs="Arial"/>
          <w:sz w:val="22"/>
          <w:szCs w:val="22"/>
          <w:lang w:val="fr-CH" w:eastAsia="de-CH"/>
        </w:rPr>
        <w:t>le droit existe également lorsque l’APEA a agi de manière illicite dans d’autres domaines de la protection de l’adulte (mesures personnelles anticipées et mesures de plein droit concernant les personnes incapables de discernement)</w:t>
      </w:r>
      <w:r w:rsidR="00ED437E" w:rsidRPr="00A751A4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A751A4" w:rsidRPr="00A751A4">
        <w:rPr>
          <w:rFonts w:ascii="Arial" w:hAnsi="Arial" w:cs="Arial"/>
          <w:sz w:val="22"/>
          <w:szCs w:val="22"/>
          <w:lang w:val="fr-CH" w:eastAsia="de-CH"/>
        </w:rPr>
        <w:t xml:space="preserve">le canton est responsable – pas de d’action directe contre l’auteur du dommage – éventuel action récursoire contre l’auteur du dommage selon le droit cantonal / </w:t>
      </w:r>
      <w:r w:rsidR="00A751A4">
        <w:rPr>
          <w:rFonts w:ascii="Arial" w:hAnsi="Arial" w:cs="Arial"/>
          <w:sz w:val="22"/>
          <w:szCs w:val="22"/>
          <w:lang w:val="fr-CH" w:eastAsia="de-CH"/>
        </w:rPr>
        <w:t>règles concernant la prescription</w:t>
      </w:r>
      <w:r w:rsidR="00ED437E" w:rsidRPr="00A751A4">
        <w:rPr>
          <w:rFonts w:ascii="Arial" w:hAnsi="Arial" w:cs="Arial"/>
          <w:sz w:val="22"/>
          <w:szCs w:val="22"/>
          <w:lang w:val="fr-CH" w:eastAsia="de-CH"/>
        </w:rPr>
        <w:t xml:space="preserve"> / </w:t>
      </w:r>
      <w:r w:rsidR="00A751A4">
        <w:rPr>
          <w:rFonts w:ascii="Arial" w:hAnsi="Arial" w:cs="Arial"/>
          <w:sz w:val="22"/>
          <w:szCs w:val="22"/>
          <w:lang w:val="fr-CH" w:eastAsia="de-CH"/>
        </w:rPr>
        <w:t xml:space="preserve">la responsabilité du mandataire pour cause d’inaptitude et de l’époux ou du partenaire enregistré </w:t>
      </w:r>
      <w:r w:rsidR="00E37F5D">
        <w:rPr>
          <w:rFonts w:ascii="Arial" w:hAnsi="Arial" w:cs="Arial"/>
          <w:sz w:val="22"/>
          <w:szCs w:val="22"/>
          <w:lang w:val="fr-CH" w:eastAsia="de-CH"/>
        </w:rPr>
        <w:t>représentant de plein droit</w:t>
      </w:r>
      <w:r w:rsidR="00A751A4">
        <w:rPr>
          <w:rFonts w:ascii="Arial" w:hAnsi="Arial" w:cs="Arial"/>
          <w:sz w:val="22"/>
          <w:szCs w:val="22"/>
          <w:lang w:val="fr-CH" w:eastAsia="de-CH"/>
        </w:rPr>
        <w:t xml:space="preserve"> la personne incapable de discernement </w:t>
      </w:r>
      <w:r w:rsidR="00E37F5D">
        <w:rPr>
          <w:rFonts w:ascii="Arial" w:hAnsi="Arial" w:cs="Arial"/>
          <w:sz w:val="22"/>
          <w:szCs w:val="22"/>
          <w:lang w:val="fr-CH" w:eastAsia="de-CH"/>
        </w:rPr>
        <w:t>est régie par les dispositions du CO applicable au mandat</w:t>
      </w:r>
      <w:r>
        <w:rPr>
          <w:rFonts w:ascii="Arial" w:hAnsi="Arial" w:cs="Arial"/>
          <w:sz w:val="22"/>
          <w:szCs w:val="22"/>
          <w:lang w:val="fr-CH" w:eastAsia="de-CH"/>
        </w:rPr>
        <w:t>.</w:t>
      </w:r>
    </w:p>
    <w:p w:rsidR="00DE598F" w:rsidRPr="00A751A4" w:rsidRDefault="00DE598F" w:rsidP="00DB1FEA">
      <w:pPr>
        <w:pStyle w:val="Fliesstext"/>
        <w:spacing w:before="0" w:after="120"/>
        <w:ind w:left="426"/>
        <w:rPr>
          <w:noProof/>
          <w:sz w:val="22"/>
          <w:szCs w:val="22"/>
          <w:lang w:val="fr-CH"/>
        </w:rPr>
      </w:pPr>
    </w:p>
    <w:p w:rsidR="00DE598F" w:rsidRPr="00A751A4" w:rsidRDefault="00DE598F" w:rsidP="00DB1FEA">
      <w:pPr>
        <w:overflowPunct w:val="0"/>
        <w:autoSpaceDE w:val="0"/>
        <w:autoSpaceDN w:val="0"/>
        <w:adjustRightInd w:val="0"/>
        <w:spacing w:after="120"/>
        <w:ind w:left="426"/>
        <w:textAlignment w:val="baseline"/>
        <w:rPr>
          <w:rFonts w:ascii="Arial" w:hAnsi="Arial"/>
          <w:sz w:val="22"/>
          <w:szCs w:val="22"/>
          <w:lang w:val="fr-CH" w:eastAsia="de-CH"/>
        </w:rPr>
      </w:pPr>
    </w:p>
    <w:sectPr w:rsidR="00DE598F" w:rsidRPr="00A751A4" w:rsidSect="00F54484">
      <w:headerReference w:type="default" r:id="rId8"/>
      <w:footerReference w:type="default" r:id="rId9"/>
      <w:pgSz w:w="11906" w:h="16838" w:code="9"/>
      <w:pgMar w:top="2516" w:right="926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DF" w:rsidRDefault="003773DF">
      <w:r>
        <w:separator/>
      </w:r>
    </w:p>
  </w:endnote>
  <w:endnote w:type="continuationSeparator" w:id="0">
    <w:p w:rsidR="003773DF" w:rsidRDefault="003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8259C1" w:rsidRDefault="008259C1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8259C1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8259C1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 xml:space="preserve">Annexe </w:t>
    </w:r>
    <w:r w:rsidR="00A83365" w:rsidRPr="008259C1">
      <w:rPr>
        <w:b w:val="0"/>
        <w:color w:val="7F7F7F"/>
        <w:sz w:val="16"/>
        <w:szCs w:val="16"/>
        <w:lang w:val="fr-CH" w:eastAsia="de-CH"/>
      </w:rPr>
      <w:t xml:space="preserve"> </w:t>
    </w:r>
    <w:r w:rsidR="00FF6D80" w:rsidRPr="008259C1">
      <w:rPr>
        <w:b w:val="0"/>
        <w:color w:val="7F7F7F"/>
        <w:sz w:val="16"/>
        <w:szCs w:val="16"/>
        <w:lang w:val="fr-CH" w:eastAsia="de-CH"/>
      </w:rPr>
      <w:t>20</w:t>
    </w:r>
    <w:r w:rsidR="00136C1D" w:rsidRPr="008259C1">
      <w:rPr>
        <w:b w:val="0"/>
        <w:color w:val="7F7F7F"/>
        <w:sz w:val="16"/>
        <w:szCs w:val="16"/>
        <w:lang w:val="fr-CH" w:eastAsia="de-CH"/>
      </w:rPr>
      <w:tab/>
    </w:r>
  </w:p>
  <w:p w:rsidR="00136C1D" w:rsidRPr="008259C1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8259C1">
      <w:rPr>
        <w:b w:val="0"/>
        <w:color w:val="7F7F7F"/>
        <w:sz w:val="16"/>
        <w:szCs w:val="16"/>
        <w:lang w:val="fr-CH" w:eastAsia="de-CH"/>
      </w:rPr>
      <w:t>Version</w:t>
    </w:r>
    <w:r w:rsidR="00136C1D" w:rsidRPr="008259C1">
      <w:rPr>
        <w:b w:val="0"/>
        <w:color w:val="7F7F7F"/>
        <w:sz w:val="16"/>
        <w:szCs w:val="16"/>
        <w:lang w:val="fr-CH" w:eastAsia="de-CH"/>
      </w:rPr>
      <w:t xml:space="preserve"> </w:t>
    </w:r>
    <w:r w:rsidR="008259C1" w:rsidRPr="008259C1">
      <w:rPr>
        <w:b w:val="0"/>
        <w:color w:val="7F7F7F"/>
        <w:sz w:val="16"/>
        <w:szCs w:val="16"/>
        <w:lang w:val="fr-CH" w:eastAsia="de-CH"/>
      </w:rPr>
      <w:t>juillet</w:t>
    </w:r>
    <w:r w:rsidR="00136C1D" w:rsidRPr="008259C1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8259C1">
      <w:rPr>
        <w:b w:val="0"/>
        <w:color w:val="7F7F7F"/>
        <w:sz w:val="16"/>
        <w:szCs w:val="16"/>
        <w:lang w:val="fr-CH" w:eastAsia="de-CH"/>
      </w:rPr>
      <w:tab/>
    </w:r>
    <w:r w:rsidR="008259C1" w:rsidRPr="008259C1">
      <w:rPr>
        <w:b w:val="0"/>
        <w:color w:val="7F7F7F"/>
        <w:sz w:val="16"/>
        <w:szCs w:val="16"/>
        <w:lang w:val="fr-CH" w:eastAsia="de-CH"/>
      </w:rPr>
      <w:t>Droit de la protection de l’adulte par mots clé</w:t>
    </w:r>
    <w:r w:rsidR="008259C1">
      <w:rPr>
        <w:b w:val="0"/>
        <w:color w:val="7F7F7F"/>
        <w:sz w:val="16"/>
        <w:szCs w:val="16"/>
        <w:lang w:val="fr-CH" w:eastAsia="de-CH"/>
      </w:rPr>
      <w:t>s</w:t>
    </w:r>
    <w:r w:rsidR="00136C1D" w:rsidRPr="008259C1">
      <w:rPr>
        <w:b w:val="0"/>
        <w:color w:val="7F7F7F"/>
        <w:sz w:val="16"/>
        <w:szCs w:val="16"/>
        <w:lang w:val="fr-CH" w:eastAsia="de-CH"/>
      </w:rPr>
      <w:tab/>
    </w:r>
  </w:p>
  <w:p w:rsidR="00A83365" w:rsidRPr="008259C1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8259C1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DF" w:rsidRDefault="003773DF">
      <w:r>
        <w:separator/>
      </w:r>
    </w:p>
  </w:footnote>
  <w:footnote w:type="continuationSeparator" w:id="0">
    <w:p w:rsidR="003773DF" w:rsidRDefault="0037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F93E38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44AE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8B44AE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1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331"/>
    <w:multiLevelType w:val="singleLevel"/>
    <w:tmpl w:val="0807000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6123A"/>
    <w:rsid w:val="00093F5F"/>
    <w:rsid w:val="000E74A5"/>
    <w:rsid w:val="00105072"/>
    <w:rsid w:val="001143DD"/>
    <w:rsid w:val="0011737B"/>
    <w:rsid w:val="00136C1D"/>
    <w:rsid w:val="00140BB8"/>
    <w:rsid w:val="00183080"/>
    <w:rsid w:val="0019677F"/>
    <w:rsid w:val="001F7B3D"/>
    <w:rsid w:val="00214D45"/>
    <w:rsid w:val="00217E40"/>
    <w:rsid w:val="00241DC8"/>
    <w:rsid w:val="00247375"/>
    <w:rsid w:val="00250834"/>
    <w:rsid w:val="00276647"/>
    <w:rsid w:val="002A3EF4"/>
    <w:rsid w:val="002C262D"/>
    <w:rsid w:val="002D0B0F"/>
    <w:rsid w:val="002E0143"/>
    <w:rsid w:val="002F079C"/>
    <w:rsid w:val="002F2A68"/>
    <w:rsid w:val="003019AB"/>
    <w:rsid w:val="00321507"/>
    <w:rsid w:val="00323C25"/>
    <w:rsid w:val="00325936"/>
    <w:rsid w:val="00344B86"/>
    <w:rsid w:val="003535B9"/>
    <w:rsid w:val="00353F7B"/>
    <w:rsid w:val="003773DF"/>
    <w:rsid w:val="00384AE3"/>
    <w:rsid w:val="003A371D"/>
    <w:rsid w:val="00402334"/>
    <w:rsid w:val="00435BA5"/>
    <w:rsid w:val="00447E93"/>
    <w:rsid w:val="004C0D8F"/>
    <w:rsid w:val="004C22A6"/>
    <w:rsid w:val="004E6BE6"/>
    <w:rsid w:val="004F38B9"/>
    <w:rsid w:val="005216FF"/>
    <w:rsid w:val="0053287C"/>
    <w:rsid w:val="005556D9"/>
    <w:rsid w:val="005573EB"/>
    <w:rsid w:val="00595982"/>
    <w:rsid w:val="005A6CDA"/>
    <w:rsid w:val="005C34B6"/>
    <w:rsid w:val="005D1371"/>
    <w:rsid w:val="005E3423"/>
    <w:rsid w:val="005E5D45"/>
    <w:rsid w:val="005F5469"/>
    <w:rsid w:val="006139AD"/>
    <w:rsid w:val="00621AD8"/>
    <w:rsid w:val="00630078"/>
    <w:rsid w:val="00637D7A"/>
    <w:rsid w:val="00647FDF"/>
    <w:rsid w:val="006519B6"/>
    <w:rsid w:val="006A6144"/>
    <w:rsid w:val="006C37BB"/>
    <w:rsid w:val="006D4BE8"/>
    <w:rsid w:val="00737D0B"/>
    <w:rsid w:val="00767F22"/>
    <w:rsid w:val="007B1882"/>
    <w:rsid w:val="007D11B3"/>
    <w:rsid w:val="007D4E89"/>
    <w:rsid w:val="007D62E8"/>
    <w:rsid w:val="00814EFB"/>
    <w:rsid w:val="008259C1"/>
    <w:rsid w:val="008726E7"/>
    <w:rsid w:val="008732B8"/>
    <w:rsid w:val="00892C0B"/>
    <w:rsid w:val="008B44AE"/>
    <w:rsid w:val="008B4E45"/>
    <w:rsid w:val="008C7F7D"/>
    <w:rsid w:val="008E1E34"/>
    <w:rsid w:val="00946D50"/>
    <w:rsid w:val="0095685C"/>
    <w:rsid w:val="00975619"/>
    <w:rsid w:val="00A224C5"/>
    <w:rsid w:val="00A31166"/>
    <w:rsid w:val="00A40A05"/>
    <w:rsid w:val="00A74F5C"/>
    <w:rsid w:val="00A751A4"/>
    <w:rsid w:val="00A77679"/>
    <w:rsid w:val="00A83365"/>
    <w:rsid w:val="00A87DB4"/>
    <w:rsid w:val="00AC522E"/>
    <w:rsid w:val="00AD0C16"/>
    <w:rsid w:val="00B04C92"/>
    <w:rsid w:val="00B217C6"/>
    <w:rsid w:val="00B4721C"/>
    <w:rsid w:val="00B564E4"/>
    <w:rsid w:val="00B9444A"/>
    <w:rsid w:val="00C27C46"/>
    <w:rsid w:val="00C63766"/>
    <w:rsid w:val="00C72268"/>
    <w:rsid w:val="00C91AC1"/>
    <w:rsid w:val="00CB0A96"/>
    <w:rsid w:val="00CB7A18"/>
    <w:rsid w:val="00CF6BB5"/>
    <w:rsid w:val="00D15CED"/>
    <w:rsid w:val="00D24C44"/>
    <w:rsid w:val="00D27E9A"/>
    <w:rsid w:val="00D60E84"/>
    <w:rsid w:val="00DB1FEA"/>
    <w:rsid w:val="00DE598F"/>
    <w:rsid w:val="00DF4D98"/>
    <w:rsid w:val="00E179BB"/>
    <w:rsid w:val="00E2494E"/>
    <w:rsid w:val="00E37F5D"/>
    <w:rsid w:val="00E56B23"/>
    <w:rsid w:val="00E65F7A"/>
    <w:rsid w:val="00E72738"/>
    <w:rsid w:val="00ED437E"/>
    <w:rsid w:val="00EF763D"/>
    <w:rsid w:val="00F06B5F"/>
    <w:rsid w:val="00F42724"/>
    <w:rsid w:val="00F54484"/>
    <w:rsid w:val="00F87ACF"/>
    <w:rsid w:val="00F93E38"/>
    <w:rsid w:val="00FA2083"/>
    <w:rsid w:val="00FB24C8"/>
    <w:rsid w:val="00FC0DED"/>
    <w:rsid w:val="00FC3650"/>
    <w:rsid w:val="00FE209E"/>
    <w:rsid w:val="00FE2F23"/>
    <w:rsid w:val="00FE4B35"/>
    <w:rsid w:val="00FE69F3"/>
    <w:rsid w:val="00FF69A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40A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0A0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40A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0A0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10718</Characters>
  <Application>Microsoft Office Word</Application>
  <DocSecurity>0</DocSecurity>
  <Lines>180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2</cp:revision>
  <cp:lastPrinted>2009-12-09T09:37:00Z</cp:lastPrinted>
  <dcterms:created xsi:type="dcterms:W3CDTF">2014-10-23T06:39:00Z</dcterms:created>
  <dcterms:modified xsi:type="dcterms:W3CDTF">2014-10-23T06:39:00Z</dcterms:modified>
</cp:coreProperties>
</file>