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73864" w:rsidRPr="00CB5F49" w:rsidTr="00E036E2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473864" w:rsidRPr="00CB5F49" w:rsidRDefault="009111BD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</w:pPr>
            <w:r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No</w:t>
            </w:r>
            <w:r w:rsidR="006A4012"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t</w:t>
            </w:r>
            <w:r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ice</w:t>
            </w:r>
            <w:r w:rsidR="0026689E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 xml:space="preserve"> «</w:t>
            </w:r>
            <w:bookmarkStart w:id="0" w:name="_GoBack"/>
            <w:bookmarkEnd w:id="0"/>
            <w:r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Comp</w:t>
            </w:r>
            <w:r w:rsidR="006A4012"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t</w:t>
            </w:r>
            <w:r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abili</w:t>
            </w:r>
            <w:r w:rsidR="0026689E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té</w:t>
            </w:r>
            <w:r w:rsidR="006A4012"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»</w:t>
            </w:r>
          </w:p>
          <w:p w:rsidR="00FB36F3" w:rsidRPr="00CB5F49" w:rsidRDefault="00FB36F3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</w:pPr>
          </w:p>
          <w:p w:rsidR="00C344DB" w:rsidRPr="00CB5F49" w:rsidRDefault="00080AB8" w:rsidP="00C344DB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Indica</w:t>
            </w:r>
            <w:r w:rsidR="006A4012"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t</w:t>
            </w:r>
            <w:r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ion</w:t>
            </w:r>
            <w:r w:rsidR="00F46998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s</w:t>
            </w:r>
            <w:r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 xml:space="preserve"> pour la lec</w:t>
            </w:r>
            <w:r w:rsidR="006A4012"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t</w:t>
            </w:r>
            <w:r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ure</w:t>
            </w:r>
            <w:r w:rsidR="00FB36F3"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: </w:t>
            </w:r>
          </w:p>
          <w:p w:rsidR="00C344DB" w:rsidRPr="00CB5F49" w:rsidRDefault="00080AB8" w:rsidP="00C344DB">
            <w:pPr>
              <w:keepNext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/>
                <w:i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i/>
                <w:color w:val="FF0000"/>
                <w:sz w:val="22"/>
                <w:szCs w:val="22"/>
                <w:lang w:val="fr-CH" w:eastAsia="de-CH"/>
              </w:rPr>
              <w:t>D</w:t>
            </w:r>
            <w:r w:rsidR="00FB36F3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 xml:space="preserve"> = </w:t>
            </w:r>
            <w:r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direc</w:t>
            </w:r>
            <w:r w:rsidR="006A4012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t</w:t>
            </w:r>
            <w:r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ives devan</w:t>
            </w:r>
            <w:r w:rsidR="006A4012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t</w:t>
            </w:r>
            <w:r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 xml:space="preserve"> ê</w:t>
            </w:r>
            <w:r w:rsidR="006A4012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t</w:t>
            </w:r>
            <w:r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re observées</w:t>
            </w:r>
            <w:r w:rsidR="00C344DB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 xml:space="preserve"> </w:t>
            </w:r>
          </w:p>
          <w:p w:rsidR="00473864" w:rsidRPr="00CB5F49" w:rsidRDefault="00080AB8" w:rsidP="006A4012">
            <w:pPr>
              <w:keepNext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/>
                <w:i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i/>
                <w:color w:val="00B050"/>
                <w:sz w:val="22"/>
                <w:szCs w:val="22"/>
                <w:lang w:val="fr-CH" w:eastAsia="de-CH"/>
              </w:rPr>
              <w:t>R</w:t>
            </w:r>
            <w:r w:rsidR="00FB36F3"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= </w:t>
            </w:r>
            <w:r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Recommanda</w:t>
            </w:r>
            <w:r w:rsidR="006A4012"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t</w:t>
            </w:r>
            <w:r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ions</w:t>
            </w:r>
          </w:p>
        </w:tc>
      </w:tr>
    </w:tbl>
    <w:p w:rsidR="00473864" w:rsidRPr="00CB5F49" w:rsidRDefault="00473864" w:rsidP="004738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32"/>
          <w:szCs w:val="20"/>
          <w:lang w:val="fr-CH" w:eastAsia="de-CH"/>
        </w:rPr>
      </w:pPr>
    </w:p>
    <w:p w:rsidR="00473864" w:rsidRPr="00CB5F49" w:rsidRDefault="00473864" w:rsidP="00473864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  <w:lang w:val="fr-CH" w:eastAsia="de-CH"/>
        </w:rPr>
      </w:pPr>
    </w:p>
    <w:p w:rsidR="00473864" w:rsidRPr="00CB5F49" w:rsidRDefault="00080AB8" w:rsidP="0047386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val="fr-CH" w:eastAsia="de-CH"/>
        </w:rPr>
      </w:pPr>
      <w:r w:rsidRPr="00CB5F49">
        <w:rPr>
          <w:rFonts w:ascii="Arial" w:hAnsi="Arial"/>
          <w:b/>
          <w:lang w:val="fr-CH" w:eastAsia="de-CH"/>
        </w:rPr>
        <w:t>Durant la période comptable en cours</w:t>
      </w:r>
    </w:p>
    <w:p w:rsidR="00473864" w:rsidRPr="00CB5F49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/>
          <w:b/>
          <w:lang w:val="fr-CH" w:eastAsia="de-CH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816"/>
      </w:tblGrid>
      <w:tr w:rsidR="00473864" w:rsidRPr="00CB5F49" w:rsidTr="00A93CA5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473864" w:rsidRPr="00CB5F49" w:rsidRDefault="00080AB8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Paiements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64" w:rsidRPr="00CB5F49" w:rsidRDefault="00473864" w:rsidP="00E81DEE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080AB8"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  <w:r w:rsidR="00C344DB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>à régler uniqu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>e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>ment à partir d’</w:t>
            </w:r>
            <w:r w:rsidR="00080AB8" w:rsidRPr="00CB5F49">
              <w:rPr>
                <w:rFonts w:ascii="Arial" w:hAnsi="Arial"/>
                <w:b/>
                <w:sz w:val="22"/>
                <w:szCs w:val="22"/>
                <w:u w:val="single"/>
                <w:lang w:val="fr-CH" w:eastAsia="de-CH"/>
              </w:rPr>
              <w:t>un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080AB8" w:rsidRPr="00CB5F49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compte bancaire ou postal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>, au moyen d’ordres de paiement (non à partir d’un compte épargne). A cet effet</w:t>
            </w:r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,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vous disposez d’un compte d’exploitation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. </w:t>
            </w:r>
          </w:p>
        </w:tc>
      </w:tr>
      <w:tr w:rsidR="00473864" w:rsidRPr="00F46998" w:rsidTr="00A93CA5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473864" w:rsidRPr="00CB5F49" w:rsidRDefault="00E81DEE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Gestion de la fortune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64" w:rsidRPr="00CB5F49" w:rsidRDefault="00473864" w:rsidP="00C344DB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080AB8"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>les placements sûrs s’effectuent d’entente avec l’APEA et selon les normes de l’OGPCT.</w:t>
            </w:r>
          </w:p>
          <w:p w:rsidR="00473864" w:rsidRPr="00CB5F49" w:rsidRDefault="00080AB8" w:rsidP="00C344D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FF0000"/>
                <w:sz w:val="22"/>
                <w:szCs w:val="22"/>
                <w:lang w:val="fr-CH" w:eastAsia="de-CH"/>
              </w:rPr>
              <w:t>D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>le consentement de l’APEA doit éventuellement être demandé. Ses directives doivent être observées (p. ex. lors de conversions, de nouveaux placements, de vente</w:t>
            </w:r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s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d’immeuble</w:t>
            </w:r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s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>).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  <w:tr w:rsidR="00473864" w:rsidRPr="00F46998" w:rsidTr="00A93CA5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473864" w:rsidRPr="00CB5F49" w:rsidRDefault="00E81DEE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Pièces justificatives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64" w:rsidRPr="00CB5F49" w:rsidRDefault="00473864" w:rsidP="00C344DB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080AB8"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les numéroter en continu et les classer </w:t>
            </w:r>
            <w:r w:rsidR="001C7977" w:rsidRPr="00CB5F49">
              <w:rPr>
                <w:rFonts w:ascii="Arial" w:hAnsi="Arial"/>
                <w:sz w:val="22"/>
                <w:szCs w:val="22"/>
                <w:lang w:val="fr-CH" w:eastAsia="de-CH"/>
              </w:rPr>
              <w:t>chronologiquement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</w:tbl>
    <w:p w:rsidR="00473864" w:rsidRPr="00CB5F49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val="fr-CH" w:eastAsia="de-CH"/>
        </w:rPr>
      </w:pPr>
    </w:p>
    <w:p w:rsidR="00473864" w:rsidRPr="00CB5F49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val="fr-CH" w:eastAsia="de-CH"/>
        </w:rPr>
      </w:pPr>
    </w:p>
    <w:p w:rsidR="00473864" w:rsidRPr="00CB5F49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426"/>
        <w:textAlignment w:val="baseline"/>
        <w:rPr>
          <w:rFonts w:ascii="Arial" w:hAnsi="Arial"/>
          <w:b/>
          <w:lang w:val="fr-CH" w:eastAsia="de-CH"/>
        </w:rPr>
      </w:pPr>
      <w:r w:rsidRPr="00CB5F49">
        <w:rPr>
          <w:rFonts w:ascii="Arial" w:hAnsi="Arial"/>
          <w:b/>
          <w:lang w:val="fr-CH" w:eastAsia="de-CH"/>
        </w:rPr>
        <w:t>2.</w:t>
      </w:r>
      <w:r w:rsidRPr="00CB5F49">
        <w:rPr>
          <w:rFonts w:ascii="Arial" w:hAnsi="Arial"/>
          <w:b/>
          <w:lang w:val="fr-CH" w:eastAsia="de-CH"/>
        </w:rPr>
        <w:tab/>
      </w:r>
      <w:r w:rsidR="00E81DEE" w:rsidRPr="00CB5F49">
        <w:rPr>
          <w:rFonts w:ascii="Arial" w:hAnsi="Arial"/>
          <w:b/>
          <w:lang w:val="fr-CH" w:eastAsia="de-CH"/>
        </w:rPr>
        <w:t>Clôture des comptes</w:t>
      </w:r>
    </w:p>
    <w:p w:rsidR="00473864" w:rsidRPr="00CB5F49" w:rsidRDefault="00473864" w:rsidP="00473864">
      <w:pPr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sz w:val="16"/>
          <w:szCs w:val="20"/>
          <w:lang w:val="fr-CH" w:eastAsia="de-CH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73864" w:rsidRPr="00F46998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  </w:t>
            </w:r>
            <w:r w:rsidR="00F46998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</w:t>
            </w:r>
            <w:r w:rsidR="001C7977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Classement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473864" w:rsidRPr="00CB5F49" w:rsidRDefault="00080AB8" w:rsidP="00473864">
            <w:pPr>
              <w:tabs>
                <w:tab w:val="left" w:pos="73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- </w:t>
            </w:r>
            <w:r w:rsidR="001C7977" w:rsidRPr="00CB5F49">
              <w:rPr>
                <w:rFonts w:ascii="Arial" w:hAnsi="Arial"/>
                <w:sz w:val="22"/>
                <w:szCs w:val="22"/>
                <w:lang w:val="fr-CH" w:eastAsia="de-CH"/>
              </w:rPr>
              <w:t>en tant que recette ou dépense</w:t>
            </w:r>
          </w:p>
          <w:p w:rsidR="00473864" w:rsidRPr="00CB5F49" w:rsidRDefault="00A93CA5" w:rsidP="00F46998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</w:t>
            </w:r>
            <w:r w:rsidR="001C7977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- 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selon l</w:t>
            </w:r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e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numéro de la pièce ou selon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  <w:t xml:space="preserve">        la date</w:t>
            </w:r>
          </w:p>
        </w:tc>
      </w:tr>
      <w:tr w:rsidR="00473864" w:rsidRPr="00F46998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Journal (</w:t>
            </w:r>
            <w:r w:rsidR="003F21DF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décompte des recettes</w:t>
            </w:r>
            <w:r w:rsidR="003F21DF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br/>
              <w:t>et des dépenses</w:t>
            </w: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)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473864" w:rsidRPr="00CB5F49" w:rsidRDefault="00080AB8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FF0000"/>
                <w:sz w:val="22"/>
                <w:szCs w:val="22"/>
                <w:lang w:val="fr-CH" w:eastAsia="de-CH"/>
              </w:rPr>
              <w:t>D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t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ous les mouvements sur tous les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  <w:t xml:space="preserve">      comptes doivent être documentés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  <w:tr w:rsidR="00473864" w:rsidRPr="00F46998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473864" w:rsidRPr="00CB5F49" w:rsidRDefault="003F21DF" w:rsidP="006B3DBF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Bilan</w:t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(</w:t>
            </w:r>
            <w:r w:rsidR="006B3DBF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reprendre le solde des comptes</w:t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/</w:t>
            </w:r>
            <w:r w:rsidR="006B3DBF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bilan d’ouverture et de clôture</w:t>
            </w:r>
            <w:r w:rsidR="00F46998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)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473864" w:rsidRPr="00CB5F49" w:rsidRDefault="00080AB8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FF0000"/>
                <w:sz w:val="22"/>
                <w:szCs w:val="22"/>
                <w:lang w:val="fr-CH" w:eastAsia="de-CH"/>
              </w:rPr>
              <w:t>D</w:t>
            </w:r>
            <w:proofErr w:type="gramStart"/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  <w:r w:rsidR="00A93CA5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-</w:t>
            </w:r>
            <w:proofErr w:type="gramEnd"/>
            <w:r w:rsidR="00A93CA5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actifs</w:t>
            </w:r>
          </w:p>
          <w:p w:rsidR="00473864" w:rsidRPr="00CB5F49" w:rsidRDefault="00A93CA5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-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passifs</w:t>
            </w:r>
          </w:p>
          <w:p w:rsidR="00473864" w:rsidRPr="00CB5F49" w:rsidRDefault="00A93CA5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-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bordereau des papiers-valeurs</w:t>
            </w:r>
          </w:p>
          <w:p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473864" w:rsidRPr="00CB5F49" w:rsidRDefault="00080AB8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="00A93CA5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C0096B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à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ne mentionner que pro </w:t>
            </w:r>
            <w:proofErr w:type="spellStart"/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memoria</w:t>
            </w:r>
            <w:proofErr w:type="spellEnd"/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 :</w:t>
            </w:r>
          </w:p>
          <w:p w:rsidR="00473864" w:rsidRPr="00CB5F49" w:rsidRDefault="006B3DBF" w:rsidP="00A93CA5">
            <w:pPr>
              <w:numPr>
                <w:ilvl w:val="0"/>
                <w:numId w:val="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21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participation à des successions non partagées</w:t>
            </w:r>
          </w:p>
          <w:p w:rsidR="00473864" w:rsidRPr="00CB5F49" w:rsidRDefault="006B3DBF" w:rsidP="00C009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215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expectatives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="00C0096B" w:rsidRPr="00CB5F49">
              <w:rPr>
                <w:rFonts w:ascii="Arial" w:hAnsi="Arial"/>
                <w:sz w:val="22"/>
                <w:szCs w:val="22"/>
                <w:lang w:val="fr-CH" w:eastAsia="de-CH"/>
              </w:rPr>
              <w:t>avoirs auprès de caisses de pension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</w:p>
        </w:tc>
      </w:tr>
    </w:tbl>
    <w:p w:rsidR="00473864" w:rsidRPr="00CB5F49" w:rsidRDefault="00473864" w:rsidP="00473864">
      <w:pPr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sz w:val="22"/>
          <w:szCs w:val="20"/>
          <w:lang w:val="fr-CH" w:eastAsia="de-CH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73864" w:rsidRPr="00CB5F49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473864" w:rsidRPr="00CB5F49" w:rsidRDefault="00C0096B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Compte de résultat</w:t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</w:t>
            </w:r>
            <w:r w:rsidR="00FB36F3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br/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(</w:t>
            </w: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dépenses et recettes)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A93CA5" w:rsidRPr="00CB5F49" w:rsidRDefault="00080AB8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</w:p>
          <w:p w:rsidR="00473864" w:rsidRPr="00CB5F49" w:rsidRDefault="00C0096B" w:rsidP="00A93CA5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21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répartition judicieuse comptes de dépenses et de recettes</w:t>
            </w:r>
          </w:p>
          <w:p w:rsidR="00473864" w:rsidRPr="00CB5F49" w:rsidRDefault="00C0096B" w:rsidP="00A93CA5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21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documenter les mouvements</w:t>
            </w:r>
          </w:p>
          <w:p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  <w:tr w:rsidR="00473864" w:rsidRPr="00F46998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473864" w:rsidRPr="00CB5F49" w:rsidRDefault="00CB5F49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Comptabilité</w:t>
            </w:r>
            <w:r w:rsidR="00C0096B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</w:t>
            </w:r>
            <w:proofErr w:type="gramStart"/>
            <w:r w:rsidR="00C0096B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des immeubles</w:t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br/>
            </w:r>
            <w:r w:rsidR="00C0096B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comptabilité commerciale</w:t>
            </w:r>
            <w:proofErr w:type="gramEnd"/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473864" w:rsidRPr="00CB5F49" w:rsidRDefault="00080AB8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</w:p>
          <w:p w:rsidR="00473864" w:rsidRPr="00CB5F49" w:rsidRDefault="00C0096B" w:rsidP="00A93CA5">
            <w:pPr>
              <w:numPr>
                <w:ilvl w:val="0"/>
                <w:numId w:val="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8" w:hanging="284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comptabilité séparée avec recettes et dépenses</w:t>
            </w:r>
          </w:p>
          <w:p w:rsidR="00473864" w:rsidRPr="00CB5F49" w:rsidRDefault="00C0096B" w:rsidP="00C0096B">
            <w:pPr>
              <w:numPr>
                <w:ilvl w:val="0"/>
                <w:numId w:val="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8" w:hanging="284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compte immeuble </w:t>
            </w:r>
            <w:proofErr w:type="gramStart"/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séparé</w:t>
            </w:r>
            <w:proofErr w:type="gramEnd"/>
            <w:r w:rsidR="00A93CA5"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(</w:t>
            </w:r>
            <w:r w:rsidR="00B56B61" w:rsidRPr="00CB5F49">
              <w:rPr>
                <w:rFonts w:ascii="Arial" w:hAnsi="Arial"/>
                <w:sz w:val="22"/>
                <w:szCs w:val="22"/>
                <w:lang w:val="fr-CH" w:eastAsia="de-CH"/>
              </w:rPr>
              <w:t>p. ex.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B56B61" w:rsidRPr="00CB5F49">
              <w:rPr>
                <w:rFonts w:ascii="Arial" w:hAnsi="Arial"/>
                <w:sz w:val="22"/>
                <w:szCs w:val="22"/>
                <w:lang w:val="fr-CH" w:eastAsia="de-CH"/>
              </w:rPr>
              <w:t>pour les rentrées de loyers, les frais d’entretien, etc.)</w:t>
            </w:r>
          </w:p>
          <w:p w:rsidR="00473864" w:rsidRPr="00CB5F49" w:rsidRDefault="00B56B61" w:rsidP="00A93CA5">
            <w:pPr>
              <w:numPr>
                <w:ilvl w:val="0"/>
                <w:numId w:val="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8" w:hanging="284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éventuellement transfert d’un excédent de recettes sur le compte de résultat ordinaire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  <w:tr w:rsidR="00473864" w:rsidRPr="00F46998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473864" w:rsidRPr="00CB5F49" w:rsidRDefault="00B56B61" w:rsidP="00B56B61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Associer la personne concernée capable de discernement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:rsidR="00473864" w:rsidRPr="00CB5F49" w:rsidRDefault="00080AB8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FF0000"/>
                <w:sz w:val="22"/>
                <w:szCs w:val="22"/>
                <w:lang w:val="fr-CH" w:eastAsia="de-CH"/>
              </w:rPr>
              <w:t>D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</w:p>
          <w:p w:rsidR="00473864" w:rsidRPr="00CB5F49" w:rsidRDefault="00B56B61" w:rsidP="00A93CA5">
            <w:pPr>
              <w:overflowPunct w:val="0"/>
              <w:autoSpaceDE w:val="0"/>
              <w:autoSpaceDN w:val="0"/>
              <w:adjustRightInd w:val="0"/>
              <w:ind w:left="144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La personne capable de discernement doit, dans la mesure du possible, être associée et devrait le confirmer par écrit. Si elle ne peut l’être, il faut le motiver par écrit. </w:t>
            </w:r>
          </w:p>
          <w:p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</w:tbl>
    <w:p w:rsidR="00473864" w:rsidRPr="00CB5F49" w:rsidRDefault="00473864" w:rsidP="00473864">
      <w:pPr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sz w:val="2"/>
          <w:szCs w:val="20"/>
          <w:lang w:val="fr-CH" w:eastAsia="de-CH"/>
        </w:rPr>
      </w:pPr>
    </w:p>
    <w:p w:rsidR="00473864" w:rsidRPr="00CB5F49" w:rsidRDefault="00473864" w:rsidP="00473864">
      <w:pPr>
        <w:pStyle w:val="Fliesstext"/>
        <w:spacing w:before="0" w:after="0"/>
        <w:ind w:firstLine="66"/>
        <w:rPr>
          <w:noProof/>
          <w:sz w:val="22"/>
          <w:szCs w:val="22"/>
          <w:lang w:val="fr-CH"/>
        </w:rPr>
      </w:pPr>
    </w:p>
    <w:sectPr w:rsidR="00473864" w:rsidRPr="00CB5F49" w:rsidSect="00F54484">
      <w:headerReference w:type="default" r:id="rId8"/>
      <w:footerReference w:type="default" r:id="rId9"/>
      <w:pgSz w:w="11906" w:h="16838" w:code="9"/>
      <w:pgMar w:top="2516" w:right="926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C4" w:rsidRDefault="00C43AC4">
      <w:r>
        <w:separator/>
      </w:r>
    </w:p>
  </w:endnote>
  <w:endnote w:type="continuationSeparator" w:id="0">
    <w:p w:rsidR="00C43AC4" w:rsidRDefault="00C4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1D" w:rsidRPr="00265693" w:rsidRDefault="00265693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 w:rsidRPr="00265693">
      <w:rPr>
        <w:b w:val="0"/>
        <w:color w:val="7F7F7F"/>
        <w:sz w:val="16"/>
        <w:szCs w:val="16"/>
        <w:lang w:val="fr-CH" w:eastAsia="de-CH"/>
      </w:rPr>
      <w:t>Manuel des mandataires privés COPMA</w:t>
    </w:r>
    <w:r w:rsidR="00A83365" w:rsidRPr="00265693">
      <w:rPr>
        <w:b w:val="0"/>
        <w:color w:val="7F7F7F"/>
        <w:sz w:val="16"/>
        <w:szCs w:val="16"/>
        <w:lang w:val="fr-CH" w:eastAsia="de-CH"/>
      </w:rPr>
      <w:tab/>
    </w:r>
    <w:r>
      <w:rPr>
        <w:b w:val="0"/>
        <w:color w:val="7F7F7F"/>
        <w:sz w:val="16"/>
        <w:szCs w:val="16"/>
        <w:lang w:val="fr-CH" w:eastAsia="de-CH"/>
      </w:rPr>
      <w:t>Annexe</w:t>
    </w:r>
    <w:r w:rsidR="00A83365" w:rsidRPr="00265693">
      <w:rPr>
        <w:b w:val="0"/>
        <w:color w:val="7F7F7F"/>
        <w:sz w:val="16"/>
        <w:szCs w:val="16"/>
        <w:lang w:val="fr-CH" w:eastAsia="de-CH"/>
      </w:rPr>
      <w:t xml:space="preserve"> </w:t>
    </w:r>
    <w:r w:rsidR="00FB36F3" w:rsidRPr="00265693">
      <w:rPr>
        <w:b w:val="0"/>
        <w:color w:val="7F7F7F"/>
        <w:sz w:val="16"/>
        <w:szCs w:val="16"/>
        <w:lang w:val="fr-CH" w:eastAsia="de-CH"/>
      </w:rPr>
      <w:t>5</w:t>
    </w:r>
    <w:r w:rsidR="00136C1D" w:rsidRPr="00265693">
      <w:rPr>
        <w:b w:val="0"/>
        <w:color w:val="7F7F7F"/>
        <w:sz w:val="16"/>
        <w:szCs w:val="16"/>
        <w:lang w:val="fr-CH" w:eastAsia="de-CH"/>
      </w:rPr>
      <w:tab/>
    </w:r>
  </w:p>
  <w:p w:rsidR="00136C1D" w:rsidRDefault="00AD0C16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  <w:r>
      <w:rPr>
        <w:b w:val="0"/>
        <w:color w:val="7F7F7F"/>
        <w:sz w:val="16"/>
        <w:szCs w:val="16"/>
        <w:lang w:eastAsia="de-CH"/>
      </w:rPr>
      <w:t>Version</w:t>
    </w:r>
    <w:r w:rsidR="00136C1D" w:rsidRPr="00136C1D">
      <w:rPr>
        <w:b w:val="0"/>
        <w:color w:val="7F7F7F"/>
        <w:sz w:val="16"/>
        <w:szCs w:val="16"/>
        <w:lang w:eastAsia="de-CH"/>
      </w:rPr>
      <w:t xml:space="preserve"> </w:t>
    </w:r>
    <w:proofErr w:type="spellStart"/>
    <w:r w:rsidR="00265693">
      <w:rPr>
        <w:b w:val="0"/>
        <w:color w:val="7F7F7F"/>
        <w:sz w:val="16"/>
        <w:szCs w:val="16"/>
        <w:lang w:eastAsia="de-CH"/>
      </w:rPr>
      <w:t>juillet</w:t>
    </w:r>
    <w:proofErr w:type="spellEnd"/>
    <w:r w:rsidR="00136C1D" w:rsidRPr="00136C1D">
      <w:rPr>
        <w:b w:val="0"/>
        <w:color w:val="7F7F7F"/>
        <w:sz w:val="16"/>
        <w:szCs w:val="16"/>
        <w:lang w:eastAsia="de-CH"/>
      </w:rPr>
      <w:t xml:space="preserve"> 2014</w:t>
    </w:r>
    <w:r w:rsidR="00A83365">
      <w:rPr>
        <w:b w:val="0"/>
        <w:color w:val="7F7F7F"/>
        <w:sz w:val="16"/>
        <w:szCs w:val="16"/>
        <w:lang w:eastAsia="de-CH"/>
      </w:rPr>
      <w:tab/>
    </w:r>
    <w:proofErr w:type="spellStart"/>
    <w:r w:rsidR="00265693">
      <w:rPr>
        <w:b w:val="0"/>
        <w:color w:val="7F7F7F"/>
        <w:sz w:val="16"/>
        <w:szCs w:val="16"/>
        <w:lang w:eastAsia="de-CH"/>
      </w:rPr>
      <w:t>Comptabilité</w:t>
    </w:r>
    <w:proofErr w:type="spellEnd"/>
    <w:r w:rsidR="00136C1D" w:rsidRPr="002F27CE">
      <w:rPr>
        <w:b w:val="0"/>
        <w:color w:val="7F7F7F"/>
        <w:sz w:val="16"/>
        <w:szCs w:val="16"/>
        <w:lang w:eastAsia="de-CH"/>
      </w:rPr>
      <w:tab/>
    </w:r>
  </w:p>
  <w:p w:rsidR="00A83365" w:rsidRPr="002F27CE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</w:p>
  <w:p w:rsidR="00136C1D" w:rsidRDefault="00136C1D" w:rsidP="00136C1D">
    <w:pPr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C4" w:rsidRDefault="00C43AC4">
      <w:r>
        <w:separator/>
      </w:r>
    </w:p>
  </w:footnote>
  <w:footnote w:type="continuationSeparator" w:id="0">
    <w:p w:rsidR="00C43AC4" w:rsidRDefault="00C43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ED" w:rsidRDefault="006B58C6" w:rsidP="00250834">
    <w:pPr>
      <w:ind w:left="-1418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7150735</wp:posOffset>
              </wp:positionH>
              <wp:positionV relativeFrom="page">
                <wp:posOffset>5706745</wp:posOffset>
              </wp:positionV>
              <wp:extent cx="407035" cy="329565"/>
              <wp:effectExtent l="0" t="1270" r="0" b="2540"/>
              <wp:wrapNone/>
              <wp:docPr id="2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0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936" w:rsidRPr="00325936" w:rsidRDefault="00325936" w:rsidP="00325936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689E">
                            <w:rPr>
                              <w:rFonts w:ascii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2</w: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left:0;text-align:left;margin-left:563.05pt;margin-top:449.35pt;width:32.0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" o:allowincell="f" stroked="f">
              <v:textbox>
                <w:txbxContent>
                  <w:p w:rsidR="00325936" w:rsidRPr="00325936" w:rsidRDefault="00325936" w:rsidP="00325936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begin"/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instrText>PAGE   \* MERGEFORMAT</w:instrTex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separate"/>
                    </w:r>
                    <w:r w:rsidR="0026689E">
                      <w:rPr>
                        <w:rFonts w:ascii="Arial" w:hAnsi="Arial" w:cs="Arial"/>
                        <w:noProof/>
                        <w:color w:val="7F7F7F"/>
                        <w:sz w:val="18"/>
                        <w:szCs w:val="18"/>
                      </w:rPr>
                      <w:t>2</w: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 w:eastAsia="de-CH"/>
      </w:rPr>
      <w:drawing>
        <wp:inline distT="0" distB="0" distL="0" distR="0">
          <wp:extent cx="7639050" cy="1181100"/>
          <wp:effectExtent l="0" t="0" r="0" b="0"/>
          <wp:docPr id="1" name="Image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C7B"/>
    <w:multiLevelType w:val="hybridMultilevel"/>
    <w:tmpl w:val="01F21BC6"/>
    <w:lvl w:ilvl="0" w:tplc="32623F2C">
      <w:start w:val="2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>
    <w:nsid w:val="0BAA1D94"/>
    <w:multiLevelType w:val="hybridMultilevel"/>
    <w:tmpl w:val="E674B61A"/>
    <w:lvl w:ilvl="0" w:tplc="4BC2BA4E">
      <w:start w:val="2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0C1F2C90"/>
    <w:multiLevelType w:val="hybridMultilevel"/>
    <w:tmpl w:val="BF7A5392"/>
    <w:lvl w:ilvl="0" w:tplc="C680A9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329FE"/>
    <w:multiLevelType w:val="singleLevel"/>
    <w:tmpl w:val="46EAE3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4E3B76E1"/>
    <w:multiLevelType w:val="hybridMultilevel"/>
    <w:tmpl w:val="DA76803A"/>
    <w:lvl w:ilvl="0" w:tplc="1C3222E2">
      <w:start w:val="1"/>
      <w:numFmt w:val="bullet"/>
      <w:lvlText w:val="-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9C0C17"/>
    <w:multiLevelType w:val="hybridMultilevel"/>
    <w:tmpl w:val="EFF04DD2"/>
    <w:lvl w:ilvl="0" w:tplc="1C3222E2">
      <w:start w:val="1"/>
      <w:numFmt w:val="bullet"/>
      <w:lvlText w:val="-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7"/>
    <w:rsid w:val="00031F93"/>
    <w:rsid w:val="00044917"/>
    <w:rsid w:val="00080AB8"/>
    <w:rsid w:val="00105072"/>
    <w:rsid w:val="001143DD"/>
    <w:rsid w:val="0011737B"/>
    <w:rsid w:val="00136C1D"/>
    <w:rsid w:val="00140BB8"/>
    <w:rsid w:val="00183080"/>
    <w:rsid w:val="001C7977"/>
    <w:rsid w:val="00214D45"/>
    <w:rsid w:val="00217E40"/>
    <w:rsid w:val="0023707C"/>
    <w:rsid w:val="00250834"/>
    <w:rsid w:val="00265693"/>
    <w:rsid w:val="0026689E"/>
    <w:rsid w:val="00276647"/>
    <w:rsid w:val="002A3EF4"/>
    <w:rsid w:val="002C262D"/>
    <w:rsid w:val="002D0B0F"/>
    <w:rsid w:val="002E0143"/>
    <w:rsid w:val="002F2A68"/>
    <w:rsid w:val="003019AB"/>
    <w:rsid w:val="00321507"/>
    <w:rsid w:val="00325936"/>
    <w:rsid w:val="00326EBA"/>
    <w:rsid w:val="00384AE3"/>
    <w:rsid w:val="003A371D"/>
    <w:rsid w:val="003F21DF"/>
    <w:rsid w:val="00402334"/>
    <w:rsid w:val="00435BA5"/>
    <w:rsid w:val="00473864"/>
    <w:rsid w:val="004C0D8F"/>
    <w:rsid w:val="004F02A3"/>
    <w:rsid w:val="005556D9"/>
    <w:rsid w:val="005573EB"/>
    <w:rsid w:val="00595982"/>
    <w:rsid w:val="005C34B6"/>
    <w:rsid w:val="005D1371"/>
    <w:rsid w:val="005E3423"/>
    <w:rsid w:val="00621AD8"/>
    <w:rsid w:val="00630078"/>
    <w:rsid w:val="00637D7A"/>
    <w:rsid w:val="00647FDF"/>
    <w:rsid w:val="006A4012"/>
    <w:rsid w:val="006B3DBF"/>
    <w:rsid w:val="006B58C6"/>
    <w:rsid w:val="006D4BE8"/>
    <w:rsid w:val="00767F22"/>
    <w:rsid w:val="007B1882"/>
    <w:rsid w:val="007D11B3"/>
    <w:rsid w:val="00826E95"/>
    <w:rsid w:val="008726E7"/>
    <w:rsid w:val="00892C0B"/>
    <w:rsid w:val="009111BD"/>
    <w:rsid w:val="00946D50"/>
    <w:rsid w:val="00A5785E"/>
    <w:rsid w:val="00A74F5C"/>
    <w:rsid w:val="00A77679"/>
    <w:rsid w:val="00A82E23"/>
    <w:rsid w:val="00A83365"/>
    <w:rsid w:val="00A93CA5"/>
    <w:rsid w:val="00AC522E"/>
    <w:rsid w:val="00AD0C16"/>
    <w:rsid w:val="00B217C6"/>
    <w:rsid w:val="00B56B61"/>
    <w:rsid w:val="00B9444A"/>
    <w:rsid w:val="00C0096B"/>
    <w:rsid w:val="00C27C46"/>
    <w:rsid w:val="00C344DB"/>
    <w:rsid w:val="00C43AC4"/>
    <w:rsid w:val="00C63766"/>
    <w:rsid w:val="00C91AC1"/>
    <w:rsid w:val="00CB0A96"/>
    <w:rsid w:val="00CB5F49"/>
    <w:rsid w:val="00CF6BB5"/>
    <w:rsid w:val="00D15CED"/>
    <w:rsid w:val="00D24C44"/>
    <w:rsid w:val="00DF4D98"/>
    <w:rsid w:val="00E65F7A"/>
    <w:rsid w:val="00E77748"/>
    <w:rsid w:val="00E81DEE"/>
    <w:rsid w:val="00F06B5F"/>
    <w:rsid w:val="00F42724"/>
    <w:rsid w:val="00F46998"/>
    <w:rsid w:val="00F54484"/>
    <w:rsid w:val="00FA2083"/>
    <w:rsid w:val="00FB36F3"/>
    <w:rsid w:val="00FC0DED"/>
    <w:rsid w:val="00FC3650"/>
    <w:rsid w:val="00FE69F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91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11BD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91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11B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Käch Barbara HSLU SA</cp:lastModifiedBy>
  <cp:revision>3</cp:revision>
  <cp:lastPrinted>2009-12-09T09:37:00Z</cp:lastPrinted>
  <dcterms:created xsi:type="dcterms:W3CDTF">2014-10-15T12:08:00Z</dcterms:created>
  <dcterms:modified xsi:type="dcterms:W3CDTF">2014-10-27T07:14:00Z</dcterms:modified>
</cp:coreProperties>
</file>