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65" w:rsidRPr="00886A5C" w:rsidRDefault="00F66E1F" w:rsidP="00DA792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/>
          <w:b/>
          <w:sz w:val="28"/>
          <w:szCs w:val="28"/>
          <w:lang w:val="fr-CH" w:eastAsia="de-CH"/>
        </w:rPr>
      </w:pPr>
      <w:r>
        <w:rPr>
          <w:rFonts w:ascii="Arial" w:hAnsi="Arial"/>
          <w:b/>
          <w:color w:val="0000FF"/>
          <w:sz w:val="28"/>
          <w:szCs w:val="28"/>
          <w:lang w:val="fr-CH" w:eastAsia="de-CH"/>
        </w:rPr>
        <w:t>Notice «</w:t>
      </w:r>
      <w:r w:rsidR="00602BF8" w:rsidRPr="00886A5C">
        <w:rPr>
          <w:rFonts w:ascii="Arial" w:hAnsi="Arial"/>
          <w:b/>
          <w:color w:val="0000FF"/>
          <w:sz w:val="28"/>
          <w:szCs w:val="28"/>
          <w:lang w:val="fr-CH" w:eastAsia="de-CH"/>
        </w:rPr>
        <w:t>Premières informati</w:t>
      </w:r>
      <w:r>
        <w:rPr>
          <w:rFonts w:ascii="Arial" w:hAnsi="Arial"/>
          <w:b/>
          <w:color w:val="0000FF"/>
          <w:sz w:val="28"/>
          <w:szCs w:val="28"/>
          <w:lang w:val="fr-CH" w:eastAsia="de-CH"/>
        </w:rPr>
        <w:t>ons pour les mandataires privés</w:t>
      </w:r>
      <w:bookmarkStart w:id="0" w:name="_GoBack"/>
      <w:bookmarkEnd w:id="0"/>
      <w:r w:rsidR="00602BF8" w:rsidRPr="00886A5C">
        <w:rPr>
          <w:rFonts w:ascii="Arial" w:hAnsi="Arial"/>
          <w:b/>
          <w:color w:val="0000FF"/>
          <w:sz w:val="28"/>
          <w:szCs w:val="28"/>
          <w:lang w:val="fr-CH" w:eastAsia="de-CH"/>
        </w:rPr>
        <w:t>»</w:t>
      </w:r>
      <w:r w:rsidR="00DA7925" w:rsidRPr="00886A5C">
        <w:rPr>
          <w:rFonts w:ascii="Arial" w:hAnsi="Arial"/>
          <w:b/>
          <w:color w:val="0000FF"/>
          <w:sz w:val="28"/>
          <w:szCs w:val="28"/>
          <w:lang w:val="fr-CH" w:eastAsia="de-CH"/>
        </w:rPr>
        <w:br/>
      </w:r>
      <w:r w:rsidR="00DA7925" w:rsidRPr="00886A5C">
        <w:rPr>
          <w:rFonts w:ascii="Arial" w:hAnsi="Arial"/>
          <w:b/>
          <w:color w:val="0000FF"/>
          <w:sz w:val="28"/>
          <w:szCs w:val="28"/>
          <w:lang w:val="fr-CH" w:eastAsia="de-CH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FB7A65" w:rsidRPr="006E57D4" w:rsidTr="00E869C0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602BF8" w:rsidP="00FB7A65">
            <w:pPr>
              <w:keepNext/>
              <w:overflowPunct w:val="0"/>
              <w:autoSpaceDE w:val="0"/>
              <w:autoSpaceDN w:val="0"/>
              <w:adjustRightInd w:val="0"/>
              <w:ind w:left="284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Du signalement à l’institution de la curatelle</w:t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601C4" w:rsidRPr="00886A5C" w:rsidRDefault="00F601C4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Après réception du signalement, l’Autorité de protection de l’enfant et de l’adulte (APEA) mène une enquête ou charge le service social de l’effectuer.</w:t>
            </w:r>
          </w:p>
          <w:p w:rsidR="00FB7A65" w:rsidRPr="00886A5C" w:rsidRDefault="00F601C4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16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Si une curatelle est nécessaire, la personne concernée peut proposer une personne de confiance de son entourage comme curatrice. Si aucune personne de confiance ne peut être nommée, </w:t>
            </w:r>
            <w:r w:rsidR="00052DA4" w:rsidRPr="00886A5C">
              <w:rPr>
                <w:rFonts w:ascii="Arial" w:hAnsi="Arial"/>
                <w:sz w:val="20"/>
                <w:szCs w:val="20"/>
                <w:lang w:val="fr-CH" w:eastAsia="de-CH"/>
              </w:rPr>
              <w:t>une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curatrice professionnelle ou </w:t>
            </w:r>
            <w:r w:rsidR="00052DA4" w:rsidRPr="00886A5C">
              <w:rPr>
                <w:rFonts w:ascii="Arial" w:hAnsi="Arial"/>
                <w:sz w:val="20"/>
                <w:szCs w:val="20"/>
                <w:lang w:val="fr-CH" w:eastAsia="de-CH"/>
              </w:rPr>
              <w:t>une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curatrice privée </w:t>
            </w:r>
            <w:r w:rsidR="00052DA4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est </w:t>
            </w:r>
            <w:r w:rsidR="006E57D4">
              <w:rPr>
                <w:rFonts w:ascii="Arial" w:hAnsi="Arial"/>
                <w:sz w:val="20"/>
                <w:szCs w:val="20"/>
                <w:lang w:val="fr-CH" w:eastAsia="de-CH"/>
              </w:rPr>
              <w:t>proposée</w:t>
            </w:r>
            <w:r w:rsidR="00052DA4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et présentée à la personne concernée.</w:t>
            </w:r>
          </w:p>
          <w:p w:rsidR="00FB7A65" w:rsidRPr="00886A5C" w:rsidRDefault="00052DA4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Les 2 personnes font connaissance, ce qui permet de concrétiser le mandat et d’accorder le droit d’être entendu.</w:t>
            </w:r>
          </w:p>
          <w:p w:rsidR="00FB7A65" w:rsidRPr="00886A5C" w:rsidRDefault="00052DA4" w:rsidP="00052D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Institution de la mesure et nomination du curateur par l’APEA.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</w:p>
        </w:tc>
      </w:tr>
      <w:tr w:rsidR="00FB7A65" w:rsidRPr="006E57D4" w:rsidTr="00E869C0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052DA4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Les mesures pour adultes les plus fréquentes</w:t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052DA4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Curatelle de </w:t>
            </w:r>
            <w:r w:rsidR="00904930" w:rsidRPr="00886A5C">
              <w:rPr>
                <w:rFonts w:ascii="Arial" w:hAnsi="Arial"/>
                <w:sz w:val="20"/>
                <w:szCs w:val="20"/>
                <w:lang w:val="fr-CH" w:eastAsia="de-CH"/>
              </w:rPr>
              <w:t>représentation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englobant</w:t>
            </w:r>
            <w:r w:rsidR="00E869C0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</w:t>
            </w:r>
            <w:r w:rsidR="006A4D9F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la gestion du revenu et de la fortune</w:t>
            </w:r>
            <w:r w:rsidR="00E869C0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</w:t>
            </w:r>
            <w:r w:rsidR="00E869C0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>(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a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rt. 394/395 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CC</w:t>
            </w:r>
            <w:r w:rsidR="00E869C0" w:rsidRPr="00886A5C">
              <w:rPr>
                <w:rFonts w:ascii="Arial" w:hAnsi="Arial"/>
                <w:sz w:val="20"/>
                <w:szCs w:val="20"/>
                <w:lang w:val="fr-CH" w:eastAsia="de-CH"/>
              </w:rPr>
              <w:t>)</w:t>
            </w:r>
            <w:r w:rsidR="00330017">
              <w:rPr>
                <w:rFonts w:ascii="Arial" w:hAnsi="Arial"/>
                <w:sz w:val="20"/>
                <w:szCs w:val="20"/>
                <w:lang w:val="fr-CH" w:eastAsia="de-CH"/>
              </w:rPr>
              <w:t>.</w:t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8"/>
                <w:szCs w:val="20"/>
                <w:lang w:val="fr-CH" w:eastAsia="de-CH"/>
              </w:rPr>
            </w:pP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8"/>
                <w:szCs w:val="20"/>
                <w:lang w:val="fr-CH" w:eastAsia="de-CH"/>
              </w:rPr>
            </w:pPr>
          </w:p>
        </w:tc>
      </w:tr>
      <w:tr w:rsidR="00FB7A65" w:rsidRPr="006E57D4" w:rsidTr="00E869C0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052DA4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Autres mesures de protection pour adultes</w:t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ind w:left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904930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Curatelle d‘accompagnement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(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art.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393 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CC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>)</w:t>
            </w:r>
          </w:p>
          <w:p w:rsidR="00FB7A65" w:rsidRPr="00886A5C" w:rsidRDefault="00904930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Curatelle de coopération (a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rt. 396 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CC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>)</w:t>
            </w:r>
          </w:p>
          <w:p w:rsidR="00FB7A65" w:rsidRPr="00886A5C" w:rsidRDefault="00904930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Curatelle de portée générale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(Art. 398 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CC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>)</w:t>
            </w:r>
          </w:p>
          <w:p w:rsidR="00FB7A65" w:rsidRPr="00886A5C" w:rsidRDefault="00904930" w:rsidP="009049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Placement à des fins d‘assistance (a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rt. 426 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CC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>)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</w:p>
        </w:tc>
      </w:tr>
      <w:tr w:rsidR="00FB7A65" w:rsidRPr="006E57D4" w:rsidTr="00E869C0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FB7A65" w:rsidP="00FB7A65">
            <w:pPr>
              <w:keepNext/>
              <w:overflowPunct w:val="0"/>
              <w:autoSpaceDE w:val="0"/>
              <w:autoSpaceDN w:val="0"/>
              <w:adjustRightInd w:val="0"/>
              <w:ind w:left="284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 xml:space="preserve">Organisation </w:t>
            </w:r>
            <w:r w:rsidR="00904930"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de la</w:t>
            </w:r>
            <w:r w:rsidR="00904930"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br/>
              <w:t>protection de l’adulte</w:t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904930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Les curateurs/curatrices sont nommés par l’APEA</w:t>
            </w:r>
            <w:r w:rsidR="00330017">
              <w:rPr>
                <w:rFonts w:ascii="Arial" w:hAnsi="Arial"/>
                <w:sz w:val="20"/>
                <w:szCs w:val="20"/>
                <w:lang w:val="fr-CH" w:eastAsia="de-CH"/>
              </w:rPr>
              <w:t>.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</w:t>
            </w:r>
            <w:r w:rsidR="00E869C0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Le CC est la base légale</w:t>
            </w:r>
            <w:r w:rsidR="00E869C0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. </w:t>
            </w:r>
          </w:p>
          <w:p w:rsidR="00FB7A65" w:rsidRPr="00886A5C" w:rsidRDefault="00904930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L’APEA est l’organe qui mandate et surveille les curateurs.</w:t>
            </w:r>
          </w:p>
          <w:p w:rsidR="00FB7A65" w:rsidRPr="00886A5C" w:rsidRDefault="00904930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L’instance </w:t>
            </w:r>
            <w:r w:rsidR="006E57D4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judiciaire 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de recours </w:t>
            </w:r>
            <w:r w:rsidR="006E57D4">
              <w:rPr>
                <w:rFonts w:ascii="Arial" w:hAnsi="Arial"/>
                <w:sz w:val="20"/>
                <w:szCs w:val="20"/>
                <w:lang w:val="fr-CH" w:eastAsia="de-CH"/>
              </w:rPr>
              <w:t>est désignée par les cantons.</w:t>
            </w:r>
          </w:p>
          <w:p w:rsidR="00FB7A65" w:rsidRPr="00886A5C" w:rsidRDefault="00904930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L’instance de surveillance (APEA) et l’instance de recours (tribunal) sont important</w:t>
            </w:r>
            <w:r w:rsidR="006E57D4">
              <w:rPr>
                <w:rFonts w:ascii="Arial" w:hAnsi="Arial"/>
                <w:sz w:val="20"/>
                <w:szCs w:val="20"/>
                <w:lang w:val="fr-CH" w:eastAsia="de-CH"/>
              </w:rPr>
              <w:t>e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s pour la gestion de la curatelle (contrôle, </w:t>
            </w:r>
            <w:r w:rsidR="00655C30" w:rsidRPr="00886A5C">
              <w:rPr>
                <w:rFonts w:ascii="Arial" w:hAnsi="Arial"/>
                <w:sz w:val="20"/>
                <w:szCs w:val="20"/>
                <w:lang w:val="fr-CH" w:eastAsia="de-CH"/>
              </w:rPr>
              <w:t>obligation de rendre compte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, protection juridique, voies de recours). </w:t>
            </w:r>
            <w:r w:rsidR="006A4D9F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  <w:r w:rsidR="00E869C0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  <w:r w:rsidR="00E869C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(</w:t>
            </w:r>
            <w:r w:rsidR="00740058" w:rsidRPr="00886A5C">
              <w:rPr>
                <w:rFonts w:ascii="Arial" w:hAnsi="Arial" w:cs="Arial"/>
                <w:i/>
                <w:sz w:val="20"/>
                <w:szCs w:val="20"/>
                <w:lang w:val="fr-CH" w:eastAsia="de-CH"/>
              </w:rPr>
              <w:t>→</w:t>
            </w:r>
            <w:r w:rsidR="00740058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</w:t>
            </w:r>
            <w:r w:rsidR="00655C3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cf</w:t>
            </w:r>
            <w:r w:rsidR="00E869C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. </w:t>
            </w:r>
            <w:r w:rsidR="00655C3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sur ce thème</w:t>
            </w:r>
            <w:r w:rsid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: « </w:t>
            </w:r>
            <w:r w:rsidR="00655C3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Aperçu</w:t>
            </w:r>
            <w:r w:rsidR="00E869C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</w:t>
            </w:r>
            <w:r w:rsidR="00655C3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APEA</w:t>
            </w:r>
            <w:r w:rsidR="006A4D9F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– </w:t>
            </w:r>
            <w:r w:rsidR="00655C3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autorité de surveillance</w:t>
            </w:r>
            <w:r w:rsidR="006A4D9F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– </w:t>
            </w:r>
            <w:r w:rsidR="00655C3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autorité de recours</w:t>
            </w:r>
            <w:r w:rsid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 »</w:t>
            </w:r>
            <w:r w:rsidR="006A4D9F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, </w:t>
            </w:r>
            <w:r w:rsidR="00655C3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annexe</w:t>
            </w:r>
            <w:r w:rsidR="006A4D9F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22 </w:t>
            </w:r>
            <w:r w:rsidR="00655C3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ou</w:t>
            </w:r>
            <w:r w:rsidR="006A4D9F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</w:t>
            </w:r>
            <w:r w:rsidR="00655C3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RMA</w:t>
            </w:r>
            <w:r w:rsidR="006A4D9F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2013 </w:t>
            </w:r>
            <w:r w:rsidR="00655C3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p</w:t>
            </w:r>
            <w:r w:rsidR="006A4D9F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. 54 </w:t>
            </w:r>
            <w:proofErr w:type="spellStart"/>
            <w:r w:rsidR="00655C30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ss</w:t>
            </w:r>
            <w:proofErr w:type="spellEnd"/>
            <w:r w:rsidR="006A4D9F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)</w:t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</w:tc>
      </w:tr>
    </w:tbl>
    <w:p w:rsidR="00DA7925" w:rsidRPr="00886A5C" w:rsidRDefault="00DA7925">
      <w:pPr>
        <w:rPr>
          <w:lang w:val="fr-CH"/>
        </w:rPr>
      </w:pPr>
    </w:p>
    <w:p w:rsidR="00DA7925" w:rsidRPr="00886A5C" w:rsidRDefault="00DA7925">
      <w:pPr>
        <w:rPr>
          <w:lang w:val="fr-CH"/>
        </w:rPr>
      </w:pPr>
      <w:r w:rsidRPr="00886A5C">
        <w:rPr>
          <w:lang w:val="fr-CH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538"/>
      </w:tblGrid>
      <w:tr w:rsidR="00FB7A65" w:rsidRPr="006E57D4" w:rsidTr="00DA7925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2"/>
                <w:szCs w:val="20"/>
                <w:lang w:val="fr-CH" w:eastAsia="de-CH"/>
              </w:rPr>
              <w:br w:type="page"/>
            </w:r>
          </w:p>
          <w:p w:rsidR="007A4B04" w:rsidRPr="00886A5C" w:rsidRDefault="007A4B04" w:rsidP="007A4B04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Curateur professionnel ou personne privée en tant que curateur</w:t>
            </w:r>
            <w:r w:rsidR="00FB7A65"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 xml:space="preserve"> </w:t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7A4B04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Les curatrices professionnelles gèrent des cas </w:t>
            </w:r>
            <w:r w:rsidR="00B20815" w:rsidRPr="00886A5C">
              <w:rPr>
                <w:rFonts w:ascii="Arial" w:hAnsi="Arial"/>
                <w:sz w:val="20"/>
                <w:szCs w:val="20"/>
                <w:lang w:val="fr-CH" w:eastAsia="de-CH"/>
              </w:rPr>
              <w:t>complexes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(personnes </w:t>
            </w:r>
            <w:r w:rsidR="00EA3452">
              <w:rPr>
                <w:rFonts w:ascii="Arial" w:hAnsi="Arial"/>
                <w:sz w:val="20"/>
                <w:szCs w:val="20"/>
                <w:lang w:val="fr-CH" w:eastAsia="de-CH"/>
              </w:rPr>
              <w:t xml:space="preserve">souffrant de 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malades psychique</w:t>
            </w:r>
            <w:r w:rsidR="00EA3452">
              <w:rPr>
                <w:rFonts w:ascii="Arial" w:hAnsi="Arial"/>
                <w:sz w:val="20"/>
                <w:szCs w:val="20"/>
                <w:lang w:val="fr-CH" w:eastAsia="de-CH"/>
              </w:rPr>
              <w:t>s</w:t>
            </w:r>
            <w:r w:rsidR="00B2081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ou toxicodépendantes, situations patrimoniales complexes, personnes qui refusent l’aide </w:t>
            </w:r>
            <w:r w:rsidR="00EA3452">
              <w:rPr>
                <w:rFonts w:ascii="Arial" w:hAnsi="Arial"/>
                <w:sz w:val="20"/>
                <w:szCs w:val="20"/>
                <w:lang w:val="fr-CH" w:eastAsia="de-CH"/>
              </w:rPr>
              <w:t>apportée</w:t>
            </w:r>
            <w:r w:rsidR="00B20815" w:rsidRPr="00886A5C">
              <w:rPr>
                <w:rFonts w:ascii="Arial" w:hAnsi="Arial"/>
                <w:sz w:val="20"/>
                <w:szCs w:val="20"/>
                <w:lang w:val="fr-CH" w:eastAsia="de-CH"/>
              </w:rPr>
              <w:t>)</w:t>
            </w:r>
            <w:r w:rsidR="00330017">
              <w:rPr>
                <w:rFonts w:ascii="Arial" w:hAnsi="Arial"/>
                <w:sz w:val="20"/>
                <w:szCs w:val="20"/>
                <w:lang w:val="fr-CH" w:eastAsia="de-CH"/>
              </w:rPr>
              <w:t>.</w:t>
            </w:r>
            <w:r w:rsidR="00B2081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</w:t>
            </w:r>
          </w:p>
          <w:p w:rsidR="00B20815" w:rsidRPr="00886A5C" w:rsidRDefault="00B20815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Les personnes privées sont nommées en priorité à des personnes âgées ou handicapées qui acceptent l’aide </w:t>
            </w:r>
            <w:r w:rsidR="00EA3452">
              <w:rPr>
                <w:rFonts w:ascii="Arial" w:hAnsi="Arial"/>
                <w:sz w:val="20"/>
                <w:szCs w:val="20"/>
                <w:lang w:val="fr-CH" w:eastAsia="de-CH"/>
              </w:rPr>
              <w:t>apportée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et collaborent. </w:t>
            </w:r>
          </w:p>
          <w:p w:rsidR="00FB7A65" w:rsidRPr="00886A5C" w:rsidRDefault="00B20815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Par rapport à la personne concernée et </w:t>
            </w:r>
            <w:r w:rsidR="00EA3452">
              <w:rPr>
                <w:rFonts w:ascii="Arial" w:hAnsi="Arial"/>
                <w:sz w:val="20"/>
                <w:szCs w:val="20"/>
                <w:lang w:val="fr-CH" w:eastAsia="de-CH"/>
              </w:rPr>
              <w:t xml:space="preserve">à 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l’APEA, la position juridique des curateurs privés et de curateurs professionnels es</w:t>
            </w:r>
            <w:r w:rsidR="00EA3452">
              <w:rPr>
                <w:rFonts w:ascii="Arial" w:hAnsi="Arial"/>
                <w:sz w:val="20"/>
                <w:szCs w:val="20"/>
                <w:lang w:val="fr-CH" w:eastAsia="de-CH"/>
              </w:rPr>
              <w:t>t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dans une large mesure identique.</w:t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</w:tc>
      </w:tr>
      <w:tr w:rsidR="00FB7A65" w:rsidRPr="006E57D4" w:rsidTr="00DA7925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B20815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Devoirs découlant de la gestion de la curatelle</w:t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16"/>
                <w:lang w:val="fr-CH" w:eastAsia="de-CH"/>
              </w:rPr>
            </w:pPr>
          </w:p>
          <w:p w:rsidR="00FB7A65" w:rsidRPr="00886A5C" w:rsidRDefault="004D04CC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Durée indéterminée de la fonction</w:t>
            </w:r>
            <w:r w:rsidR="00B2081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(possibilité d’arrêter après 4 ans) </w:t>
            </w:r>
            <w:r w:rsidR="00330017">
              <w:rPr>
                <w:rFonts w:ascii="Arial" w:hAnsi="Arial"/>
                <w:sz w:val="20"/>
                <w:szCs w:val="20"/>
                <w:lang w:val="fr-CH" w:eastAsia="de-CH"/>
              </w:rPr>
              <w:t>ou durée fixée par l’APEA.</w:t>
            </w:r>
          </w:p>
          <w:p w:rsidR="00FB7A65" w:rsidRPr="00886A5C" w:rsidRDefault="004D04CC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Inventaire = base pour la gestion du mandat</w:t>
            </w:r>
          </w:p>
          <w:p w:rsidR="00FB7A65" w:rsidRPr="00886A5C" w:rsidRDefault="004D04CC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Gestion du mandat et tenue des comptes selon le CC et les dispositions d’exécution cantonales ainsi que les instructions de l’APEA.</w:t>
            </w:r>
          </w:p>
          <w:p w:rsidR="00FB7A65" w:rsidRPr="00886A5C" w:rsidRDefault="004D04CC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Remise </w:t>
            </w:r>
            <w:r w:rsidR="00EA3452">
              <w:rPr>
                <w:rFonts w:ascii="Arial" w:hAnsi="Arial"/>
                <w:sz w:val="20"/>
                <w:szCs w:val="20"/>
                <w:lang w:val="fr-CH" w:eastAsia="de-CH"/>
              </w:rPr>
              <w:t>du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rapport d’activité et de</w:t>
            </w:r>
            <w:r w:rsidR="00EA3452">
              <w:rPr>
                <w:rFonts w:ascii="Arial" w:hAnsi="Arial"/>
                <w:sz w:val="20"/>
                <w:szCs w:val="20"/>
                <w:lang w:val="fr-CH" w:eastAsia="de-CH"/>
              </w:rPr>
              <w:t>s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comptes avec propositions (rémunération, frais, maintien/levée de la mesure) tous les 2 ans ou selon les instructions de l’APEA. </w:t>
            </w:r>
          </w:p>
          <w:p w:rsidR="00FB7A65" w:rsidRPr="00886A5C" w:rsidRDefault="004D04CC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Sauvegarde des intérêts de la personne</w:t>
            </w:r>
          </w:p>
          <w:p w:rsidR="00FB7A65" w:rsidRPr="00886A5C" w:rsidRDefault="004D04CC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Obligation de garder le secret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, 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protection juridique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, </w:t>
            </w:r>
            <w:r w:rsidR="00EA3452">
              <w:rPr>
                <w:rFonts w:ascii="Arial" w:hAnsi="Arial"/>
                <w:sz w:val="20"/>
                <w:szCs w:val="20"/>
                <w:lang w:val="fr-CH" w:eastAsia="de-CH"/>
              </w:rPr>
              <w:t>respect des</w:t>
            </w:r>
            <w:r w:rsidR="00330017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droits de la personnalité.</w:t>
            </w:r>
          </w:p>
          <w:p w:rsidR="00FB7A65" w:rsidRPr="00886A5C" w:rsidRDefault="00342E4B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Actes prohibés, impossibles et nécessitant le concours de l’APEA. </w:t>
            </w:r>
          </w:p>
          <w:p w:rsidR="00FB7A65" w:rsidRPr="00886A5C" w:rsidRDefault="00342E4B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Contrôle de la gestion du mandat par l’APEA.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</w:t>
            </w:r>
            <w:r w:rsidR="00740058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</w:p>
        </w:tc>
      </w:tr>
      <w:tr w:rsidR="00FB7A65" w:rsidRPr="006E57D4" w:rsidTr="00DA7925">
        <w:tc>
          <w:tcPr>
            <w:tcW w:w="44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342E4B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Tâches et compétences de la curatrice</w:t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16"/>
                <w:lang w:val="fr-CH" w:eastAsia="de-CH"/>
              </w:rPr>
            </w:pPr>
          </w:p>
          <w:p w:rsidR="00CC2D75" w:rsidRPr="00886A5C" w:rsidRDefault="00342E4B" w:rsidP="007400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FF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color w:val="0000FF"/>
                <w:sz w:val="20"/>
                <w:szCs w:val="20"/>
                <w:lang w:val="fr-CH" w:eastAsia="de-CH"/>
              </w:rPr>
              <w:t>Selon les tâches dans la décision de l‘APEA</w:t>
            </w:r>
            <w:r w:rsidR="00CC2D75" w:rsidRPr="00886A5C">
              <w:rPr>
                <w:rFonts w:ascii="Arial" w:hAnsi="Arial"/>
                <w:color w:val="0000FF"/>
                <w:sz w:val="20"/>
                <w:szCs w:val="20"/>
                <w:lang w:val="fr-CH" w:eastAsia="de-CH"/>
              </w:rPr>
              <w:t xml:space="preserve">: </w:t>
            </w:r>
          </w:p>
          <w:p w:rsidR="00CC2D75" w:rsidRPr="00886A5C" w:rsidRDefault="00CC2D75" w:rsidP="00CC2D75">
            <w:pPr>
              <w:overflowPunct w:val="0"/>
              <w:autoSpaceDE w:val="0"/>
              <w:autoSpaceDN w:val="0"/>
              <w:adjustRightInd w:val="0"/>
              <w:ind w:left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342E4B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u w:val="single"/>
                <w:lang w:val="fr-CH" w:eastAsia="de-CH"/>
              </w:rPr>
              <w:t>Assistance personnelle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>: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  <w:r w:rsidR="00E900B9">
              <w:rPr>
                <w:rFonts w:ascii="Arial" w:hAnsi="Arial"/>
                <w:sz w:val="20"/>
                <w:szCs w:val="20"/>
                <w:lang w:val="fr-CH" w:eastAsia="de-CH"/>
              </w:rPr>
              <w:t>E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ntretenir la relation, </w:t>
            </w:r>
            <w:proofErr w:type="gramStart"/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aider</w:t>
            </w:r>
            <w:proofErr w:type="gramEnd"/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, accompagner, protéger</w:t>
            </w:r>
            <w:r w:rsidR="00E900B9">
              <w:rPr>
                <w:rFonts w:ascii="Arial" w:hAnsi="Arial"/>
                <w:sz w:val="20"/>
                <w:szCs w:val="20"/>
                <w:lang w:val="fr-CH" w:eastAsia="de-CH"/>
              </w:rPr>
              <w:t>.</w:t>
            </w:r>
          </w:p>
          <w:p w:rsidR="00FB7A65" w:rsidRPr="00886A5C" w:rsidRDefault="00342E4B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u w:val="single"/>
                <w:lang w:val="fr-CH" w:eastAsia="de-CH"/>
              </w:rPr>
              <w:t>Tâches administratives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>: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Gestion du revenu et de la fortune, </w:t>
            </w:r>
            <w:proofErr w:type="spellStart"/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compta-bilité</w:t>
            </w:r>
            <w:proofErr w:type="spellEnd"/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, faire valoir les droits aux prestations d’assurances, déclaration d‘impôts, etc.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</w:t>
            </w:r>
          </w:p>
          <w:p w:rsidR="00FB7A65" w:rsidRPr="00886A5C" w:rsidRDefault="00342E4B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u w:val="single"/>
                <w:lang w:val="fr-CH" w:eastAsia="de-CH"/>
              </w:rPr>
              <w:t>Représentation légale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>: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  <w:r w:rsidR="00E900B9">
              <w:rPr>
                <w:rFonts w:ascii="Arial" w:hAnsi="Arial"/>
                <w:sz w:val="20"/>
                <w:szCs w:val="20"/>
                <w:lang w:val="fr-CH" w:eastAsia="de-CH"/>
              </w:rPr>
              <w:t>D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emander le consentement de l’APEA (actes nécessitant le concours de l’autorité)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, </w:t>
            </w:r>
            <w:r w:rsidR="005255D2" w:rsidRPr="00886A5C">
              <w:rPr>
                <w:rFonts w:ascii="Arial" w:hAnsi="Arial"/>
                <w:sz w:val="20"/>
                <w:szCs w:val="20"/>
                <w:lang w:val="fr-CH" w:eastAsia="de-CH"/>
              </w:rPr>
              <w:t>dénoncer les contrats préjudiciables,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etc.</w:t>
            </w:r>
          </w:p>
          <w:p w:rsidR="00740058" w:rsidRPr="00886A5C" w:rsidRDefault="00740058" w:rsidP="005255D2">
            <w:pPr>
              <w:overflowPunct w:val="0"/>
              <w:autoSpaceDE w:val="0"/>
              <w:autoSpaceDN w:val="0"/>
              <w:adjustRightInd w:val="0"/>
              <w:spacing w:before="120"/>
              <w:ind w:left="357"/>
              <w:textAlignment w:val="baseline"/>
              <w:rPr>
                <w:rFonts w:ascii="Arial" w:hAnsi="Arial"/>
                <w:i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(</w:t>
            </w:r>
            <w:r w:rsidR="005255D2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cf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. </w:t>
            </w:r>
            <w:r w:rsidR="005255D2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sur ce thème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: </w:t>
            </w:r>
            <w:r w:rsidR="005255D2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annexe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16)</w:t>
            </w:r>
          </w:p>
        </w:tc>
      </w:tr>
    </w:tbl>
    <w:p w:rsidR="00FB7A65" w:rsidRPr="00886A5C" w:rsidRDefault="00FB7A65" w:rsidP="00FB7A65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0"/>
          <w:lang w:val="fr-CH" w:eastAsia="de-CH"/>
        </w:rPr>
      </w:pPr>
      <w:r w:rsidRPr="00886A5C">
        <w:rPr>
          <w:rFonts w:ascii="Arial" w:hAnsi="Arial"/>
          <w:sz w:val="22"/>
          <w:szCs w:val="20"/>
          <w:lang w:val="fr-CH" w:eastAsia="de-CH"/>
        </w:rPr>
        <w:br w:type="page"/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679"/>
      </w:tblGrid>
      <w:tr w:rsidR="00FB7A65" w:rsidRPr="006E57D4" w:rsidTr="00E07EDF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5255D2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Les 2 premiers mois de la gestion du mandat</w:t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A2454D" w:rsidRPr="00886A5C" w:rsidRDefault="005255D2" w:rsidP="00A245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FF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color w:val="0000FF"/>
                <w:sz w:val="20"/>
                <w:szCs w:val="20"/>
                <w:lang w:val="fr-CH" w:eastAsia="de-CH"/>
              </w:rPr>
              <w:t>Selon les tâches dans la décision de l’APEA:</w:t>
            </w:r>
          </w:p>
          <w:p w:rsidR="00FB7A65" w:rsidRPr="00886A5C" w:rsidRDefault="005255D2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Etablir l’inventaire </w:t>
            </w:r>
            <w:r w:rsidR="001B2C33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(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cf</w:t>
            </w:r>
            <w:r w:rsidR="001B2C33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. 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annexe</w:t>
            </w:r>
            <w:r w:rsidR="0070054E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4 « 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Questionnaire pour l’</w:t>
            </w:r>
            <w:r w:rsidR="0070054E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inventaire »</w:t>
            </w:r>
            <w:r w:rsidR="001B2C33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et chapitre</w:t>
            </w:r>
            <w:r w:rsidR="001B2C33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</w:t>
            </w:r>
            <w:r w:rsidR="00377F1A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3.3.)</w:t>
            </w:r>
            <w:r w:rsidR="00E900B9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.</w:t>
            </w:r>
          </w:p>
          <w:p w:rsidR="00FB7A65" w:rsidRPr="00886A5C" w:rsidRDefault="0070054E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Tâches découlant de la situation particulière et selon ce qui a été convenu avec l‘APEA </w:t>
            </w:r>
            <w:r w:rsidR="004329BD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  <w:r w:rsidR="00377F1A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(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cf</w:t>
            </w:r>
            <w:r w:rsidR="00377F1A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. 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annexe</w:t>
            </w:r>
            <w:r w:rsidR="004329BD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3: 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Liste de contrôle « Les 2 premiers mois de la gestion du mandat » et chapitre</w:t>
            </w:r>
            <w:r w:rsidR="004329BD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3</w:t>
            </w:r>
            <w:r w:rsidR="00FB7A65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)</w:t>
            </w:r>
            <w:r w:rsidR="00E900B9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.</w:t>
            </w:r>
          </w:p>
          <w:p w:rsidR="00FB7A65" w:rsidRPr="00886A5C" w:rsidRDefault="0070054E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Observer les instructions données </w:t>
            </w:r>
            <w:r w:rsidR="00E900B9">
              <w:rPr>
                <w:rFonts w:ascii="Arial" w:hAnsi="Arial"/>
                <w:sz w:val="20"/>
                <w:szCs w:val="20"/>
                <w:lang w:val="fr-CH" w:eastAsia="de-CH"/>
              </w:rPr>
              <w:t>dans le cas concret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concernant l’inventaire, la gestion de la fortune et la comptabilité</w:t>
            </w:r>
            <w:r w:rsidR="00E900B9">
              <w:rPr>
                <w:rFonts w:ascii="Arial" w:hAnsi="Arial"/>
                <w:sz w:val="20"/>
                <w:szCs w:val="20"/>
                <w:lang w:val="fr-CH" w:eastAsia="de-CH"/>
              </w:rPr>
              <w:t>.</w:t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8"/>
                <w:szCs w:val="20"/>
                <w:lang w:val="fr-CH" w:eastAsia="de-CH"/>
              </w:rPr>
            </w:pPr>
          </w:p>
        </w:tc>
      </w:tr>
      <w:tr w:rsidR="00FB7A65" w:rsidRPr="006E57D4" w:rsidTr="00E07EDF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70054E" w:rsidP="00FB7A65">
            <w:pPr>
              <w:keepNext/>
              <w:overflowPunct w:val="0"/>
              <w:autoSpaceDE w:val="0"/>
              <w:autoSpaceDN w:val="0"/>
              <w:adjustRightInd w:val="0"/>
              <w:ind w:left="284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Frais et rémunération</w:t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70054E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Vous serez rémunéré pour la gestion du mandat selon les dispositions d’exécution cantonales et </w:t>
            </w:r>
            <w:r w:rsidR="00E900B9" w:rsidRPr="00886A5C">
              <w:rPr>
                <w:rFonts w:ascii="Arial" w:hAnsi="Arial"/>
                <w:sz w:val="20"/>
                <w:szCs w:val="20"/>
                <w:lang w:val="fr-CH" w:eastAsia="de-CH"/>
              </w:rPr>
              <w:t>évent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. les directives régionales </w:t>
            </w:r>
            <w:r w:rsidR="004329BD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(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cf</w:t>
            </w:r>
            <w:r w:rsidR="004329BD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. 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Chapitre</w:t>
            </w:r>
            <w:r w:rsidR="004329BD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2.3/2.5)</w:t>
            </w:r>
            <w:r w:rsidR="00330017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.</w:t>
            </w:r>
          </w:p>
          <w:p w:rsidR="00FB7A65" w:rsidRPr="00886A5C" w:rsidRDefault="003C6698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Selon le montant de sa fortune, la rémunération est à la charge de la personne concernée ou de l’Etat.</w:t>
            </w:r>
          </w:p>
          <w:p w:rsidR="00FB7A65" w:rsidRPr="00886A5C" w:rsidRDefault="003C6698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Les directives cantonales/régionales déterminent les activités qui sont déterminantes pour la rémunération. </w:t>
            </w:r>
          </w:p>
          <w:p w:rsidR="00FB7A65" w:rsidRPr="00886A5C" w:rsidRDefault="003C6698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La rémunération est en général fixée par l’APEA au terme de la période de rapport (de 2 ans), sur la base d’une pro</w:t>
            </w:r>
            <w:r w:rsidR="00821E9C" w:rsidRPr="00886A5C">
              <w:rPr>
                <w:rFonts w:ascii="Arial" w:hAnsi="Arial"/>
                <w:sz w:val="20"/>
                <w:szCs w:val="20"/>
                <w:lang w:val="fr-CH" w:eastAsia="de-CH"/>
              </w:rPr>
              <w:t>position.</w:t>
            </w:r>
          </w:p>
          <w:p w:rsidR="00FB7A65" w:rsidRPr="00886A5C" w:rsidRDefault="00821E9C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Les frais de ports, téléphone, déplacement</w:t>
            </w:r>
            <w:r w:rsidR="00330017">
              <w:rPr>
                <w:rFonts w:ascii="Arial" w:hAnsi="Arial"/>
                <w:sz w:val="20"/>
                <w:szCs w:val="20"/>
                <w:lang w:val="fr-CH" w:eastAsia="de-CH"/>
              </w:rPr>
              <w:t>s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, photocopies, etc. doivent être documentés et décomptés à part.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Selon les directives cantonales/régionales, les frais peuvent également </w:t>
            </w:r>
            <w:r w:rsidR="00E900B9">
              <w:rPr>
                <w:rFonts w:ascii="Arial" w:hAnsi="Arial"/>
                <w:sz w:val="20"/>
                <w:szCs w:val="20"/>
                <w:lang w:val="fr-CH" w:eastAsia="de-CH"/>
              </w:rPr>
              <w:t>être remboursés sur la base d’un forfait.</w:t>
            </w:r>
          </w:p>
          <w:p w:rsidR="00FB7A65" w:rsidRPr="00886A5C" w:rsidRDefault="00821E9C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La rémunération et les frais, même s’ils sont à la charge de la personne concernée, ne peuvent être </w:t>
            </w:r>
            <w:r w:rsidR="00330017">
              <w:rPr>
                <w:rFonts w:ascii="Arial" w:hAnsi="Arial"/>
                <w:sz w:val="20"/>
                <w:szCs w:val="20"/>
                <w:lang w:val="fr-CH" w:eastAsia="de-CH"/>
              </w:rPr>
              <w:t>encaissés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qu’après que l’APEA </w:t>
            </w:r>
            <w:r w:rsidR="00886A5C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ait rendu une décision </w:t>
            </w: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à ce sujet. </w:t>
            </w:r>
            <w:r w:rsidR="004329BD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</w:p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8"/>
                <w:szCs w:val="20"/>
                <w:lang w:val="fr-CH" w:eastAsia="de-CH"/>
              </w:rPr>
            </w:pPr>
          </w:p>
        </w:tc>
      </w:tr>
      <w:tr w:rsidR="00FB7A65" w:rsidRPr="006E57D4" w:rsidTr="00E07EDF"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886A5C" w:rsidP="00330017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/>
                <w:b/>
                <w:sz w:val="22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 xml:space="preserve">Soutien de l’APEA ou du service pour mandataires privés mandaté </w:t>
            </w:r>
            <w:r w:rsidR="00330017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>à</w:t>
            </w:r>
            <w:r w:rsidRPr="00886A5C">
              <w:rPr>
                <w:rFonts w:ascii="Arial" w:hAnsi="Arial"/>
                <w:b/>
                <w:sz w:val="22"/>
                <w:szCs w:val="20"/>
                <w:lang w:val="fr-CH" w:eastAsia="de-CH"/>
              </w:rPr>
              <w:t xml:space="preserve"> cet effet 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65" w:rsidRPr="00886A5C" w:rsidRDefault="00FB7A65" w:rsidP="00FB7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</w:p>
          <w:p w:rsidR="00FB7A65" w:rsidRPr="00886A5C" w:rsidRDefault="00886A5C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L’APEA doit garantir un standard minimum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</w:t>
            </w:r>
            <w:r w:rsidR="00FB7A65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(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cf</w:t>
            </w:r>
            <w:r w:rsidR="004329BD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.</w:t>
            </w:r>
            <w:r w:rsidR="00FB7A65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Chapitre</w:t>
            </w:r>
            <w:r w:rsidR="00FB7A65"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 xml:space="preserve"> 2.1)</w:t>
            </w:r>
            <w:r w:rsidRPr="00886A5C">
              <w:rPr>
                <w:rFonts w:ascii="Arial" w:hAnsi="Arial"/>
                <w:i/>
                <w:sz w:val="20"/>
                <w:szCs w:val="20"/>
                <w:lang w:val="fr-CH" w:eastAsia="de-CH"/>
              </w:rPr>
              <w:t>.</w:t>
            </w:r>
          </w:p>
          <w:p w:rsidR="004329BD" w:rsidRPr="00886A5C" w:rsidRDefault="00886A5C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Soutien concret de l’APEA/du service des mandataires privés, lorsque des questions se posent.</w:t>
            </w:r>
            <w:r w:rsidR="00E90709"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</w:t>
            </w:r>
          </w:p>
          <w:p w:rsidR="00FB7A65" w:rsidRPr="00886A5C" w:rsidRDefault="00886A5C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Introduction aux particularités de la gestion du mandat, de la comptabilité ainsi qu’aux devoirs généraux liés à la fonction. </w:t>
            </w:r>
          </w:p>
          <w:p w:rsidR="00FB7A65" w:rsidRPr="00886A5C" w:rsidRDefault="00886A5C" w:rsidP="00FB7A6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>Remise d’une documentation écrite (notices, manuel</w:t>
            </w:r>
            <w:r w:rsidR="00FB7A65" w:rsidRPr="00886A5C">
              <w:rPr>
                <w:rFonts w:ascii="Arial" w:hAnsi="Arial"/>
                <w:sz w:val="20"/>
                <w:szCs w:val="20"/>
                <w:lang w:val="fr-CH" w:eastAsia="de-CH"/>
              </w:rPr>
              <w:t>)</w:t>
            </w:r>
            <w:r w:rsidR="00330017">
              <w:rPr>
                <w:rFonts w:ascii="Arial" w:hAnsi="Arial"/>
                <w:sz w:val="20"/>
                <w:szCs w:val="20"/>
                <w:lang w:val="fr-CH" w:eastAsia="de-CH"/>
              </w:rPr>
              <w:t>.</w:t>
            </w:r>
          </w:p>
          <w:p w:rsidR="00FB7A65" w:rsidRPr="00886A5C" w:rsidRDefault="00FB7A65" w:rsidP="00886A5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ind w:left="357" w:hanging="357"/>
              <w:textAlignment w:val="baseline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886A5C">
              <w:rPr>
                <w:rFonts w:ascii="Arial" w:hAnsi="Arial"/>
                <w:sz w:val="20"/>
                <w:szCs w:val="20"/>
                <w:lang w:val="fr-CH" w:eastAsia="de-CH"/>
              </w:rPr>
              <w:t xml:space="preserve">Hotline </w:t>
            </w:r>
            <w:r w:rsidR="00886A5C" w:rsidRPr="00886A5C">
              <w:rPr>
                <w:rFonts w:ascii="Arial" w:hAnsi="Arial"/>
                <w:sz w:val="20"/>
                <w:szCs w:val="20"/>
                <w:lang w:val="fr-CH" w:eastAsia="de-CH"/>
              </w:rPr>
              <w:t>en cas de questions ou de problèmes</w:t>
            </w:r>
            <w:r w:rsidR="00330017">
              <w:rPr>
                <w:rFonts w:ascii="Arial" w:hAnsi="Arial"/>
                <w:sz w:val="20"/>
                <w:szCs w:val="20"/>
                <w:lang w:val="fr-CH" w:eastAsia="de-CH"/>
              </w:rPr>
              <w:t>.</w:t>
            </w:r>
            <w:r w:rsidR="00A11F61" w:rsidRPr="00886A5C">
              <w:rPr>
                <w:rFonts w:ascii="Arial" w:hAnsi="Arial"/>
                <w:sz w:val="20"/>
                <w:szCs w:val="20"/>
                <w:lang w:val="fr-CH" w:eastAsia="de-CH"/>
              </w:rPr>
              <w:br/>
            </w:r>
          </w:p>
        </w:tc>
      </w:tr>
    </w:tbl>
    <w:p w:rsidR="00FB7A65" w:rsidRPr="00886A5C" w:rsidRDefault="00FB7A65" w:rsidP="00FB7A65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4"/>
          <w:szCs w:val="20"/>
          <w:lang w:val="fr-CH" w:eastAsia="de-CH"/>
        </w:rPr>
      </w:pPr>
    </w:p>
    <w:sectPr w:rsidR="00FB7A65" w:rsidRPr="00886A5C" w:rsidSect="00E869C0">
      <w:headerReference w:type="default" r:id="rId8"/>
      <w:footerReference w:type="default" r:id="rId9"/>
      <w:pgSz w:w="11906" w:h="16838" w:code="9"/>
      <w:pgMar w:top="2233" w:right="926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DA" w:rsidRDefault="00C75ADA">
      <w:r>
        <w:separator/>
      </w:r>
    </w:p>
  </w:endnote>
  <w:endnote w:type="continuationSeparator" w:id="0">
    <w:p w:rsidR="00C75ADA" w:rsidRDefault="00C7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1D" w:rsidRPr="007E76D0" w:rsidRDefault="007E76D0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7E76D0">
      <w:rPr>
        <w:b w:val="0"/>
        <w:color w:val="7F7F7F"/>
        <w:sz w:val="16"/>
        <w:szCs w:val="16"/>
        <w:lang w:val="fr-CH" w:eastAsia="de-CH"/>
      </w:rPr>
      <w:t>Manuel des mandataires privés COPMA</w:t>
    </w:r>
    <w:r w:rsidR="00A83365" w:rsidRPr="007E76D0">
      <w:rPr>
        <w:b w:val="0"/>
        <w:color w:val="7F7F7F"/>
        <w:sz w:val="16"/>
        <w:szCs w:val="16"/>
        <w:lang w:val="fr-CH" w:eastAsia="de-CH"/>
      </w:rPr>
      <w:tab/>
    </w:r>
    <w:r>
      <w:rPr>
        <w:b w:val="0"/>
        <w:color w:val="7F7F7F"/>
        <w:sz w:val="16"/>
        <w:szCs w:val="16"/>
        <w:lang w:val="fr-CH" w:eastAsia="de-CH"/>
      </w:rPr>
      <w:t>Annexe</w:t>
    </w:r>
    <w:r w:rsidR="00A83365" w:rsidRPr="007E76D0">
      <w:rPr>
        <w:b w:val="0"/>
        <w:color w:val="7F7F7F"/>
        <w:sz w:val="16"/>
        <w:szCs w:val="16"/>
        <w:lang w:val="fr-CH" w:eastAsia="de-CH"/>
      </w:rPr>
      <w:t xml:space="preserve"> 1</w:t>
    </w:r>
    <w:r w:rsidR="00136C1D" w:rsidRPr="007E76D0">
      <w:rPr>
        <w:b w:val="0"/>
        <w:color w:val="7F7F7F"/>
        <w:sz w:val="16"/>
        <w:szCs w:val="16"/>
        <w:lang w:val="fr-CH" w:eastAsia="de-CH"/>
      </w:rPr>
      <w:tab/>
    </w:r>
  </w:p>
  <w:p w:rsidR="00136C1D" w:rsidRDefault="000B6571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eastAsia="de-CH"/>
      </w:rPr>
    </w:pPr>
    <w:r>
      <w:rPr>
        <w:b w:val="0"/>
        <w:color w:val="7F7F7F"/>
        <w:sz w:val="16"/>
        <w:szCs w:val="16"/>
        <w:lang w:eastAsia="de-CH"/>
      </w:rPr>
      <w:t xml:space="preserve">Version </w:t>
    </w:r>
    <w:proofErr w:type="spellStart"/>
    <w:r w:rsidR="007E76D0">
      <w:rPr>
        <w:b w:val="0"/>
        <w:color w:val="7F7F7F"/>
        <w:sz w:val="16"/>
        <w:szCs w:val="16"/>
        <w:lang w:eastAsia="de-CH"/>
      </w:rPr>
      <w:t>juillet</w:t>
    </w:r>
    <w:proofErr w:type="spellEnd"/>
    <w:r w:rsidR="00136C1D" w:rsidRPr="00136C1D">
      <w:rPr>
        <w:b w:val="0"/>
        <w:color w:val="7F7F7F"/>
        <w:sz w:val="16"/>
        <w:szCs w:val="16"/>
        <w:lang w:eastAsia="de-CH"/>
      </w:rPr>
      <w:t xml:space="preserve"> 2014</w:t>
    </w:r>
    <w:r w:rsidR="00A83365">
      <w:rPr>
        <w:b w:val="0"/>
        <w:color w:val="7F7F7F"/>
        <w:sz w:val="16"/>
        <w:szCs w:val="16"/>
        <w:lang w:eastAsia="de-CH"/>
      </w:rPr>
      <w:tab/>
    </w:r>
    <w:proofErr w:type="spellStart"/>
    <w:r w:rsidR="007E76D0">
      <w:rPr>
        <w:b w:val="0"/>
        <w:color w:val="7F7F7F"/>
        <w:sz w:val="16"/>
        <w:szCs w:val="16"/>
        <w:lang w:eastAsia="de-CH"/>
      </w:rPr>
      <w:t>Premières</w:t>
    </w:r>
    <w:proofErr w:type="spellEnd"/>
    <w:r w:rsidR="007E76D0">
      <w:rPr>
        <w:b w:val="0"/>
        <w:color w:val="7F7F7F"/>
        <w:sz w:val="16"/>
        <w:szCs w:val="16"/>
        <w:lang w:eastAsia="de-CH"/>
      </w:rPr>
      <w:t xml:space="preserve"> </w:t>
    </w:r>
    <w:proofErr w:type="spellStart"/>
    <w:r w:rsidR="007E76D0">
      <w:rPr>
        <w:b w:val="0"/>
        <w:color w:val="7F7F7F"/>
        <w:sz w:val="16"/>
        <w:szCs w:val="16"/>
        <w:lang w:eastAsia="de-CH"/>
      </w:rPr>
      <w:t>informations</w:t>
    </w:r>
    <w:proofErr w:type="spellEnd"/>
    <w:r w:rsidR="00136C1D" w:rsidRPr="002F27CE">
      <w:rPr>
        <w:b w:val="0"/>
        <w:color w:val="7F7F7F"/>
        <w:sz w:val="16"/>
        <w:szCs w:val="16"/>
        <w:lang w:eastAsia="de-CH"/>
      </w:rPr>
      <w:tab/>
    </w:r>
  </w:p>
  <w:p w:rsidR="00A83365" w:rsidRPr="002F27CE" w:rsidRDefault="00A83365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eastAsia="de-CH"/>
      </w:rPr>
    </w:pPr>
  </w:p>
  <w:p w:rsidR="00136C1D" w:rsidRDefault="00136C1D" w:rsidP="00136C1D">
    <w:pPr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DA" w:rsidRDefault="00C75ADA">
      <w:r>
        <w:separator/>
      </w:r>
    </w:p>
  </w:footnote>
  <w:footnote w:type="continuationSeparator" w:id="0">
    <w:p w:rsidR="00C75ADA" w:rsidRDefault="00C7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D" w:rsidRDefault="00F52143" w:rsidP="00250834">
    <w:pPr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7089775</wp:posOffset>
              </wp:positionH>
              <wp:positionV relativeFrom="page">
                <wp:posOffset>5615940</wp:posOffset>
              </wp:positionV>
              <wp:extent cx="464820" cy="329565"/>
              <wp:effectExtent l="0" t="0" r="5715" b="0"/>
              <wp:wrapNone/>
              <wp:docPr id="54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82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565" w:rsidRPr="002B7565" w:rsidRDefault="002B7565" w:rsidP="002B7565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2B7565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B7565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2B7565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66E1F">
                            <w:rPr>
                              <w:rFonts w:ascii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3</w:t>
                          </w:r>
                          <w:r w:rsidRPr="002B7565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558.25pt;margin-top:442.2pt;width:36.6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" o:allowincell="f" stroked="f">
              <v:textbox>
                <w:txbxContent>
                  <w:p w:rsidR="002B7565" w:rsidRPr="002B7565" w:rsidRDefault="002B7565" w:rsidP="002B7565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2B7565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begin"/>
                    </w:r>
                    <w:r w:rsidRPr="002B7565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instrText>PAGE   \* MERGEFORMAT</w:instrText>
                    </w:r>
                    <w:r w:rsidRPr="002B7565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separate"/>
                    </w:r>
                    <w:r w:rsidR="00F66E1F">
                      <w:rPr>
                        <w:rFonts w:ascii="Arial" w:hAnsi="Arial" w:cs="Arial"/>
                        <w:noProof/>
                        <w:color w:val="7F7F7F"/>
                        <w:sz w:val="18"/>
                        <w:szCs w:val="18"/>
                      </w:rPr>
                      <w:t>3</w:t>
                    </w:r>
                    <w:r w:rsidRPr="002B7565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 w:eastAsia="de-CH"/>
      </w:rPr>
      <w:drawing>
        <wp:inline distT="0" distB="0" distL="0" distR="0">
          <wp:extent cx="7639050" cy="1181100"/>
          <wp:effectExtent l="0" t="0" r="0" b="0"/>
          <wp:docPr id="1" name="Image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7B5C"/>
    <w:multiLevelType w:val="singleLevel"/>
    <w:tmpl w:val="25AED050"/>
    <w:lvl w:ilvl="0">
      <w:start w:val="11"/>
      <w:numFmt w:val="none"/>
      <w:lvlText w:val="-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31F93"/>
    <w:rsid w:val="00044917"/>
    <w:rsid w:val="00052DA4"/>
    <w:rsid w:val="000B6571"/>
    <w:rsid w:val="000E50DC"/>
    <w:rsid w:val="00105072"/>
    <w:rsid w:val="001143DD"/>
    <w:rsid w:val="0011737B"/>
    <w:rsid w:val="00136C1D"/>
    <w:rsid w:val="00183080"/>
    <w:rsid w:val="001B2C33"/>
    <w:rsid w:val="00214D45"/>
    <w:rsid w:val="00217E40"/>
    <w:rsid w:val="00250834"/>
    <w:rsid w:val="00276647"/>
    <w:rsid w:val="002A3EF4"/>
    <w:rsid w:val="002B7565"/>
    <w:rsid w:val="002C262D"/>
    <w:rsid w:val="002D0B0F"/>
    <w:rsid w:val="002E0143"/>
    <w:rsid w:val="002F2A68"/>
    <w:rsid w:val="003019AB"/>
    <w:rsid w:val="00321507"/>
    <w:rsid w:val="00330017"/>
    <w:rsid w:val="00342E4B"/>
    <w:rsid w:val="00376B87"/>
    <w:rsid w:val="00377F1A"/>
    <w:rsid w:val="00384AE3"/>
    <w:rsid w:val="003A371D"/>
    <w:rsid w:val="003C6698"/>
    <w:rsid w:val="00402334"/>
    <w:rsid w:val="004329BD"/>
    <w:rsid w:val="00435BA5"/>
    <w:rsid w:val="004A4060"/>
    <w:rsid w:val="004C0D8F"/>
    <w:rsid w:val="004D04CC"/>
    <w:rsid w:val="004E4B66"/>
    <w:rsid w:val="005255D2"/>
    <w:rsid w:val="005556D9"/>
    <w:rsid w:val="005573EB"/>
    <w:rsid w:val="00595982"/>
    <w:rsid w:val="005C34B6"/>
    <w:rsid w:val="005E3423"/>
    <w:rsid w:val="00602BF8"/>
    <w:rsid w:val="00621AD8"/>
    <w:rsid w:val="00630078"/>
    <w:rsid w:val="00637D7A"/>
    <w:rsid w:val="00647FDF"/>
    <w:rsid w:val="00655C30"/>
    <w:rsid w:val="006A4D9F"/>
    <w:rsid w:val="006D4BE8"/>
    <w:rsid w:val="006E57D4"/>
    <w:rsid w:val="006F0525"/>
    <w:rsid w:val="0070054E"/>
    <w:rsid w:val="00740058"/>
    <w:rsid w:val="007A4B04"/>
    <w:rsid w:val="007B1882"/>
    <w:rsid w:val="007C6A6E"/>
    <w:rsid w:val="007D11B3"/>
    <w:rsid w:val="007E76D0"/>
    <w:rsid w:val="00821E9C"/>
    <w:rsid w:val="008606DD"/>
    <w:rsid w:val="008726E7"/>
    <w:rsid w:val="00886A5C"/>
    <w:rsid w:val="00892C0B"/>
    <w:rsid w:val="00904930"/>
    <w:rsid w:val="00946D50"/>
    <w:rsid w:val="00A11F61"/>
    <w:rsid w:val="00A2454D"/>
    <w:rsid w:val="00A74F5C"/>
    <w:rsid w:val="00A77679"/>
    <w:rsid w:val="00A83365"/>
    <w:rsid w:val="00AC4F9C"/>
    <w:rsid w:val="00AC522E"/>
    <w:rsid w:val="00B20815"/>
    <w:rsid w:val="00B217C6"/>
    <w:rsid w:val="00B30EFC"/>
    <w:rsid w:val="00B9444A"/>
    <w:rsid w:val="00C27C46"/>
    <w:rsid w:val="00C63766"/>
    <w:rsid w:val="00C71C30"/>
    <w:rsid w:val="00C75ADA"/>
    <w:rsid w:val="00C91AC1"/>
    <w:rsid w:val="00CB0A96"/>
    <w:rsid w:val="00CC2D75"/>
    <w:rsid w:val="00CF6BB5"/>
    <w:rsid w:val="00CF7402"/>
    <w:rsid w:val="00D15CED"/>
    <w:rsid w:val="00D24C44"/>
    <w:rsid w:val="00DA7925"/>
    <w:rsid w:val="00DF4D98"/>
    <w:rsid w:val="00E07EDF"/>
    <w:rsid w:val="00E25AA6"/>
    <w:rsid w:val="00E65F7A"/>
    <w:rsid w:val="00E66C1D"/>
    <w:rsid w:val="00E74F23"/>
    <w:rsid w:val="00E869C0"/>
    <w:rsid w:val="00E900B9"/>
    <w:rsid w:val="00E90709"/>
    <w:rsid w:val="00EA3452"/>
    <w:rsid w:val="00EF2730"/>
    <w:rsid w:val="00F06B5F"/>
    <w:rsid w:val="00F25BFE"/>
    <w:rsid w:val="00F42724"/>
    <w:rsid w:val="00F52143"/>
    <w:rsid w:val="00F54484"/>
    <w:rsid w:val="00F601C4"/>
    <w:rsid w:val="00F612BC"/>
    <w:rsid w:val="00F66E1F"/>
    <w:rsid w:val="00FA2083"/>
    <w:rsid w:val="00FB7A65"/>
    <w:rsid w:val="00FC0DED"/>
    <w:rsid w:val="00FC3650"/>
    <w:rsid w:val="00FE69F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02B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2BF8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02B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2BF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Käch Barbara HSLU SA</cp:lastModifiedBy>
  <cp:revision>3</cp:revision>
  <cp:lastPrinted>2009-12-09T09:37:00Z</cp:lastPrinted>
  <dcterms:created xsi:type="dcterms:W3CDTF">2014-10-15T11:21:00Z</dcterms:created>
  <dcterms:modified xsi:type="dcterms:W3CDTF">2014-10-27T07:11:00Z</dcterms:modified>
</cp:coreProperties>
</file>