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5D" w:rsidRPr="00345599" w:rsidRDefault="00364CD1" w:rsidP="001B605D">
      <w:pPr>
        <w:pStyle w:val="Fliesstext"/>
        <w:spacing w:before="0" w:after="0"/>
        <w:rPr>
          <w:b/>
          <w:noProof/>
          <w:color w:val="0000FF"/>
          <w:sz w:val="32"/>
          <w:szCs w:val="32"/>
          <w:lang w:val="fr-CH"/>
        </w:rPr>
      </w:pPr>
      <w:r>
        <w:rPr>
          <w:b/>
          <w:noProof/>
          <w:color w:val="0000FF"/>
          <w:sz w:val="32"/>
          <w:szCs w:val="32"/>
          <w:lang w:val="fr-CH"/>
        </w:rPr>
        <w:t>Notice «</w:t>
      </w:r>
      <w:r w:rsidR="001B605D" w:rsidRPr="00345599">
        <w:rPr>
          <w:b/>
          <w:noProof/>
          <w:color w:val="0000FF"/>
          <w:sz w:val="32"/>
          <w:szCs w:val="32"/>
          <w:lang w:val="fr-CH"/>
        </w:rPr>
        <w:t>Actes nécessitant le concours de l’autorité</w:t>
      </w:r>
      <w:bookmarkStart w:id="0" w:name="_GoBack"/>
      <w:bookmarkEnd w:id="0"/>
      <w:r w:rsidR="001B605D" w:rsidRPr="00345599">
        <w:rPr>
          <w:b/>
          <w:noProof/>
          <w:color w:val="0000FF"/>
          <w:sz w:val="32"/>
          <w:szCs w:val="32"/>
          <w:lang w:val="fr-CH"/>
        </w:rPr>
        <w:t>»</w:t>
      </w:r>
    </w:p>
    <w:p w:rsidR="00F42724" w:rsidRPr="00345599" w:rsidRDefault="00F42724" w:rsidP="00F42724">
      <w:pPr>
        <w:pStyle w:val="Fliesstext"/>
        <w:spacing w:before="0" w:after="0"/>
        <w:rPr>
          <w:noProof/>
          <w:sz w:val="22"/>
          <w:szCs w:val="22"/>
          <w:lang w:val="fr-CH"/>
        </w:rPr>
      </w:pPr>
    </w:p>
    <w:p w:rsidR="00DE598F" w:rsidRPr="00345599" w:rsidRDefault="00DE598F" w:rsidP="00F42724">
      <w:pPr>
        <w:pStyle w:val="Fliesstext"/>
        <w:spacing w:before="0" w:after="0"/>
        <w:rPr>
          <w:noProof/>
          <w:sz w:val="22"/>
          <w:szCs w:val="22"/>
          <w:lang w:val="fr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12"/>
      </w:tblGrid>
      <w:tr w:rsidR="00DE598F" w:rsidRPr="006D48B7" w:rsidTr="0053287C">
        <w:tc>
          <w:tcPr>
            <w:tcW w:w="3614" w:type="dxa"/>
            <w:tcBorders>
              <w:right w:val="nil"/>
            </w:tcBorders>
            <w:shd w:val="pct10" w:color="auto" w:fill="FFFFFF"/>
          </w:tcPr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DE598F" w:rsidRPr="00345599" w:rsidRDefault="00201540" w:rsidP="00DE598F">
            <w:pPr>
              <w:keepNext/>
              <w:overflowPunct w:val="0"/>
              <w:autoSpaceDE w:val="0"/>
              <w:autoSpaceDN w:val="0"/>
              <w:adjustRightInd w:val="0"/>
              <w:ind w:left="284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34559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Actes concernés</w:t>
            </w:r>
          </w:p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5312" w:type="dxa"/>
          </w:tcPr>
          <w:p w:rsidR="00DE598F" w:rsidRPr="00345599" w:rsidRDefault="00DE598F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DE598F" w:rsidRPr="006D48B7" w:rsidRDefault="00201540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Arial" w:hAnsi="Arial"/>
                <w:b/>
                <w:i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>Les actes nécessitant le consentement de l’autorité son énumérés à</w:t>
            </w:r>
            <w:r w:rsidR="00DE598F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>l</w:t>
            </w:r>
            <w:r w:rsidR="00345599">
              <w:rPr>
                <w:rFonts w:ascii="Arial" w:hAnsi="Arial"/>
                <w:sz w:val="22"/>
                <w:szCs w:val="22"/>
                <w:lang w:val="fr-CH" w:eastAsia="de-CH"/>
              </w:rPr>
              <w:t>’</w:t>
            </w: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a</w:t>
            </w:r>
            <w:r w:rsidR="00DE598F"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rt. 416 </w:t>
            </w: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al.</w:t>
            </w:r>
            <w:r w:rsidR="00DE598F"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 1 </w:t>
            </w: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ch. 1 à 9</w:t>
            </w:r>
            <w:r w:rsidR="00DE598F"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 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>et à l’</w:t>
            </w: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a</w:t>
            </w:r>
            <w:r w:rsidR="00DE598F"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rt. 416 </w:t>
            </w: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al</w:t>
            </w:r>
            <w:r w:rsidR="00DE598F"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. 3 </w:t>
            </w: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CC</w:t>
            </w:r>
            <w:r w:rsidR="006D48B7" w:rsidRPr="006D48B7">
              <w:rPr>
                <w:rFonts w:ascii="Arial" w:hAnsi="Arial"/>
                <w:b/>
                <w:i/>
                <w:sz w:val="22"/>
                <w:szCs w:val="22"/>
                <w:lang w:val="fr-CH" w:eastAsia="de-CH"/>
              </w:rPr>
              <w:t>.</w:t>
            </w:r>
          </w:p>
          <w:p w:rsidR="00DE598F" w:rsidRPr="00345599" w:rsidRDefault="00DE598F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DE598F" w:rsidRPr="00345599" w:rsidRDefault="00DE598F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ab/>
              <w:t>(</w:t>
            </w:r>
            <w:r w:rsidR="00201540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p. ex. liquidation du logement, conclusion d’une assurance sur la vie, achat/vente de biens immobiliers, </w:t>
            </w:r>
            <w:r w:rsidR="0004427C" w:rsidRPr="00345599">
              <w:rPr>
                <w:rFonts w:ascii="Arial" w:hAnsi="Arial"/>
                <w:sz w:val="22"/>
                <w:szCs w:val="22"/>
                <w:lang w:val="fr-CH" w:eastAsia="de-CH"/>
              </w:rPr>
              <w:t>procéder à des placement</w:t>
            </w:r>
            <w:r w:rsidR="00345599">
              <w:rPr>
                <w:rFonts w:ascii="Arial" w:hAnsi="Arial"/>
                <w:sz w:val="22"/>
                <w:szCs w:val="22"/>
                <w:lang w:val="fr-CH" w:eastAsia="de-CH"/>
              </w:rPr>
              <w:t>s</w:t>
            </w:r>
            <w:r w:rsidR="0004427C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de fortune, contrats entre le curateur et la personne concernée) </w:t>
            </w:r>
          </w:p>
          <w:p w:rsidR="00DE598F" w:rsidRPr="00345599" w:rsidRDefault="00DE598F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  <w:tr w:rsidR="00DE598F" w:rsidRPr="006D48B7" w:rsidTr="0053287C">
        <w:tc>
          <w:tcPr>
            <w:tcW w:w="3614" w:type="dxa"/>
            <w:tcBorders>
              <w:right w:val="nil"/>
            </w:tcBorders>
            <w:shd w:val="pct10" w:color="auto" w:fill="FFFFFF"/>
          </w:tcPr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DE598F" w:rsidRPr="00345599" w:rsidRDefault="0004427C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34559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Accord donné par la personne concernée </w:t>
            </w:r>
          </w:p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5312" w:type="dxa"/>
          </w:tcPr>
          <w:p w:rsidR="00DE598F" w:rsidRPr="00345599" w:rsidRDefault="00DE598F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04427C" w:rsidRPr="00345599" w:rsidRDefault="0004427C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Si la personne concernée est </w:t>
            </w: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capable de discernement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que l’exercice de ses droits civils </w:t>
            </w:r>
            <w:r w:rsidR="00345599">
              <w:rPr>
                <w:rFonts w:ascii="Arial" w:hAnsi="Arial"/>
                <w:sz w:val="22"/>
                <w:szCs w:val="22"/>
                <w:lang w:val="fr-CH" w:eastAsia="de-CH"/>
              </w:rPr>
              <w:t>n’a pas été restreint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pour l’acte en question et qu’elle a donné son accord, le consentement de l’APEA n’est pas nécessaire (art. 416 al. 2 CC).</w:t>
            </w:r>
          </w:p>
          <w:p w:rsidR="00DE598F" w:rsidRPr="00345599" w:rsidRDefault="0004427C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La personne concernée n’est toutefois pas tenue de s’exprimer sur l’affaire en question, c’est-à-dire qu’elle peut laisser </w:t>
            </w:r>
            <w:r w:rsidR="00151F6A" w:rsidRPr="00345599">
              <w:rPr>
                <w:rFonts w:ascii="Arial" w:hAnsi="Arial"/>
                <w:sz w:val="22"/>
                <w:szCs w:val="22"/>
                <w:lang w:val="fr-CH" w:eastAsia="de-CH"/>
              </w:rPr>
              <w:t>au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curateur et </w:t>
            </w:r>
            <w:r w:rsidR="00151F6A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à </w:t>
            </w:r>
            <w:r w:rsidR="006D48B7">
              <w:rPr>
                <w:rFonts w:ascii="Arial" w:hAnsi="Arial"/>
                <w:sz w:val="22"/>
                <w:szCs w:val="22"/>
                <w:lang w:val="fr-CH" w:eastAsia="de-CH"/>
              </w:rPr>
              <w:t>l’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APEA </w:t>
            </w:r>
            <w:r w:rsidR="00151F6A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le soin de 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décider. </w:t>
            </w:r>
          </w:p>
          <w:p w:rsidR="00DE598F" w:rsidRPr="00345599" w:rsidRDefault="00151F6A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b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Il faut </w:t>
            </w:r>
            <w:r w:rsidR="006D48B7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être</w:t>
            </w: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 exigeant</w:t>
            </w:r>
            <w:r w:rsidR="006D48B7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 lors de l’examen de la</w:t>
            </w: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 capacité de discernement.</w:t>
            </w:r>
          </w:p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  <w:tr w:rsidR="00DE598F" w:rsidRPr="006D48B7" w:rsidTr="0053287C">
        <w:tc>
          <w:tcPr>
            <w:tcW w:w="3614" w:type="dxa"/>
            <w:tcBorders>
              <w:right w:val="nil"/>
            </w:tcBorders>
            <w:shd w:val="pct10" w:color="auto" w:fill="FFFFFF"/>
          </w:tcPr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DE598F" w:rsidRPr="00345599" w:rsidRDefault="00151F6A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34559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Qualité du consentement de l’APEA exigé</w:t>
            </w:r>
          </w:p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5312" w:type="dxa"/>
          </w:tcPr>
          <w:p w:rsidR="00DE598F" w:rsidRPr="00345599" w:rsidRDefault="00DE598F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Arial" w:hAnsi="Arial"/>
                <w:b/>
                <w:sz w:val="22"/>
                <w:szCs w:val="22"/>
                <w:lang w:val="fr-CH" w:eastAsia="de-CH"/>
              </w:rPr>
            </w:pPr>
          </w:p>
          <w:p w:rsidR="00DE598F" w:rsidRPr="00345599" w:rsidRDefault="00151F6A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Arial" w:hAnsi="Arial"/>
                <w:b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Dans tous cas, un consentement qualifié (décision de l’APEA) est nécessaire. </w:t>
            </w:r>
          </w:p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  <w:tr w:rsidR="00DE598F" w:rsidRPr="006D48B7" w:rsidTr="0053287C">
        <w:tc>
          <w:tcPr>
            <w:tcW w:w="3614" w:type="dxa"/>
            <w:tcBorders>
              <w:right w:val="nil"/>
            </w:tcBorders>
            <w:shd w:val="pct10" w:color="auto" w:fill="FFFFFF"/>
          </w:tcPr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DE598F" w:rsidRPr="00345599" w:rsidRDefault="00F33FE3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34559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Marche à suivre</w:t>
            </w:r>
          </w:p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5312" w:type="dxa"/>
          </w:tcPr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DE598F" w:rsidRPr="00345599" w:rsidRDefault="006D48B7" w:rsidP="00DE598F">
            <w:pPr>
              <w:numPr>
                <w:ilvl w:val="0"/>
                <w:numId w:val="1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>Discuter préalablement</w:t>
            </w:r>
            <w:r w:rsidR="00F33FE3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l’affaire avec l</w:t>
            </w:r>
            <w:r w:rsidR="00345599">
              <w:rPr>
                <w:rFonts w:ascii="Arial" w:hAnsi="Arial"/>
                <w:sz w:val="22"/>
                <w:szCs w:val="22"/>
                <w:lang w:val="fr-CH" w:eastAsia="de-CH"/>
              </w:rPr>
              <w:t>’</w:t>
            </w:r>
            <w:r w:rsidR="00F33FE3" w:rsidRPr="00345599">
              <w:rPr>
                <w:rFonts w:ascii="Arial" w:hAnsi="Arial"/>
                <w:sz w:val="22"/>
                <w:szCs w:val="22"/>
                <w:lang w:val="fr-CH" w:eastAsia="de-CH"/>
              </w:rPr>
              <w:t>APEA</w:t>
            </w:r>
            <w:r>
              <w:rPr>
                <w:rFonts w:ascii="Arial" w:hAnsi="Arial"/>
                <w:sz w:val="22"/>
                <w:szCs w:val="22"/>
                <w:lang w:val="fr-CH" w:eastAsia="de-CH"/>
              </w:rPr>
              <w:t>.</w:t>
            </w:r>
          </w:p>
          <w:p w:rsidR="00DE598F" w:rsidRPr="00345599" w:rsidRDefault="006D48B7" w:rsidP="00DE598F">
            <w:pPr>
              <w:numPr>
                <w:ilvl w:val="0"/>
                <w:numId w:val="1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>Traiter l’</w:t>
            </w:r>
            <w:r w:rsidR="00F33FE3" w:rsidRPr="00345599">
              <w:rPr>
                <w:rFonts w:ascii="Arial" w:hAnsi="Arial"/>
                <w:sz w:val="22"/>
                <w:szCs w:val="22"/>
                <w:lang w:val="fr-CH" w:eastAsia="de-CH"/>
              </w:rPr>
              <w:t>affaire</w:t>
            </w:r>
            <w:r>
              <w:rPr>
                <w:rFonts w:ascii="Arial" w:hAnsi="Arial"/>
                <w:sz w:val="22"/>
                <w:szCs w:val="22"/>
                <w:lang w:val="fr-CH" w:eastAsia="de-CH"/>
              </w:rPr>
              <w:t>.</w:t>
            </w:r>
            <w:r w:rsidR="00DE598F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</w:p>
          <w:p w:rsidR="00DE598F" w:rsidRPr="00345599" w:rsidRDefault="006D48B7" w:rsidP="00DE598F">
            <w:pPr>
              <w:numPr>
                <w:ilvl w:val="0"/>
                <w:numId w:val="1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>Déposer une</w:t>
            </w:r>
            <w:r w:rsidR="00F33FE3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requête documentée (correspondance, etc.) auprès de l’APEA</w:t>
            </w:r>
            <w:r>
              <w:rPr>
                <w:rFonts w:ascii="Arial" w:hAnsi="Arial"/>
                <w:sz w:val="22"/>
                <w:szCs w:val="22"/>
                <w:lang w:val="fr-CH" w:eastAsia="de-CH"/>
              </w:rPr>
              <w:t>.</w:t>
            </w:r>
          </w:p>
          <w:p w:rsidR="00DE598F" w:rsidRPr="00345599" w:rsidRDefault="00F33FE3" w:rsidP="00DE598F">
            <w:pPr>
              <w:numPr>
                <w:ilvl w:val="0"/>
                <w:numId w:val="1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>Décision de l</w:t>
            </w:r>
            <w:r w:rsidR="00345599">
              <w:rPr>
                <w:rFonts w:ascii="Arial" w:hAnsi="Arial"/>
                <w:sz w:val="22"/>
                <w:szCs w:val="22"/>
                <w:lang w:val="fr-CH" w:eastAsia="de-CH"/>
              </w:rPr>
              <w:t>’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>APEA</w:t>
            </w:r>
            <w:r w:rsidR="006D48B7">
              <w:rPr>
                <w:rFonts w:ascii="Arial" w:hAnsi="Arial"/>
                <w:sz w:val="22"/>
                <w:szCs w:val="22"/>
                <w:lang w:val="fr-CH" w:eastAsia="de-CH"/>
              </w:rPr>
              <w:t>.</w:t>
            </w:r>
          </w:p>
          <w:p w:rsidR="00DE598F" w:rsidRPr="00345599" w:rsidRDefault="00345599" w:rsidP="00DE598F">
            <w:pPr>
              <w:numPr>
                <w:ilvl w:val="0"/>
                <w:numId w:val="1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>Communication au curateur/</w:t>
            </w:r>
            <w:r w:rsidR="00F33FE3" w:rsidRPr="00345599">
              <w:rPr>
                <w:rFonts w:ascii="Arial" w:hAnsi="Arial"/>
                <w:sz w:val="22"/>
                <w:szCs w:val="22"/>
                <w:lang w:val="fr-CH" w:eastAsia="de-CH"/>
              </w:rPr>
              <w:t>à la curatrice</w:t>
            </w:r>
            <w:r w:rsidR="006D48B7">
              <w:rPr>
                <w:rFonts w:ascii="Arial" w:hAnsi="Arial"/>
                <w:sz w:val="22"/>
                <w:szCs w:val="22"/>
                <w:lang w:val="fr-CH" w:eastAsia="de-CH"/>
              </w:rPr>
              <w:t>.</w:t>
            </w:r>
          </w:p>
          <w:p w:rsidR="00DE598F" w:rsidRPr="00345599" w:rsidRDefault="00F33FE3" w:rsidP="00DE598F">
            <w:pPr>
              <w:numPr>
                <w:ilvl w:val="0"/>
                <w:numId w:val="1"/>
              </w:num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>Finalis</w:t>
            </w:r>
            <w:r w:rsidR="006D48B7">
              <w:rPr>
                <w:rFonts w:ascii="Arial" w:hAnsi="Arial"/>
                <w:sz w:val="22"/>
                <w:szCs w:val="22"/>
                <w:lang w:val="fr-CH" w:eastAsia="de-CH"/>
              </w:rPr>
              <w:t>er l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>’affaire</w:t>
            </w:r>
            <w:r w:rsidR="006D48B7">
              <w:rPr>
                <w:rFonts w:ascii="Arial" w:hAnsi="Arial"/>
                <w:sz w:val="22"/>
                <w:szCs w:val="22"/>
                <w:lang w:val="fr-CH" w:eastAsia="de-CH"/>
              </w:rPr>
              <w:t>.</w:t>
            </w:r>
            <w:r w:rsidR="00DE598F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</w:p>
          <w:p w:rsidR="00DE598F" w:rsidRPr="00345599" w:rsidRDefault="00DE598F" w:rsidP="00DE598F">
            <w:pPr>
              <w:tabs>
                <w:tab w:val="left" w:pos="215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  <w:tr w:rsidR="00DE598F" w:rsidRPr="006D48B7" w:rsidTr="0053287C">
        <w:tc>
          <w:tcPr>
            <w:tcW w:w="3614" w:type="dxa"/>
            <w:tcBorders>
              <w:right w:val="nil"/>
            </w:tcBorders>
            <w:shd w:val="pct10" w:color="auto" w:fill="FFFFFF"/>
          </w:tcPr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DE598F" w:rsidRPr="00345599" w:rsidRDefault="00F33FE3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34559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Validité de l</w:t>
            </w:r>
            <w:r w:rsidR="0034559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’</w:t>
            </w:r>
            <w:r w:rsidRPr="00345599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acte</w:t>
            </w:r>
          </w:p>
          <w:p w:rsidR="00DE598F" w:rsidRPr="00345599" w:rsidRDefault="00DE598F" w:rsidP="00DE598F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5312" w:type="dxa"/>
          </w:tcPr>
          <w:p w:rsidR="00DE598F" w:rsidRPr="00345599" w:rsidRDefault="00DE598F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DE598F" w:rsidRPr="00345599" w:rsidRDefault="00F33FE3" w:rsidP="00DE598F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Dès que </w:t>
            </w:r>
            <w:r w:rsidR="00345599" w:rsidRPr="00345599">
              <w:rPr>
                <w:rFonts w:ascii="Arial" w:hAnsi="Arial"/>
                <w:sz w:val="22"/>
                <w:szCs w:val="22"/>
                <w:lang w:val="fr-CH" w:eastAsia="de-CH"/>
              </w:rPr>
              <w:t>le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consentement est entré en force de chose jugée, la personne concernée est liée par l’acte en question.</w:t>
            </w:r>
          </w:p>
          <w:p w:rsidR="00DE598F" w:rsidRDefault="00000C72" w:rsidP="006D48B7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Si le consentement est refusé, l’acte </w:t>
            </w:r>
            <w:r w:rsidR="00345599" w:rsidRPr="00345599">
              <w:rPr>
                <w:rFonts w:ascii="Arial" w:hAnsi="Arial"/>
                <w:sz w:val="22"/>
                <w:szCs w:val="22"/>
                <w:lang w:val="fr-CH" w:eastAsia="de-CH"/>
              </w:rPr>
              <w:t>n’est pas valable.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345599"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Les prestations déjà fournies doivent être restituées et </w:t>
            </w:r>
            <w:r w:rsid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peut </w:t>
            </w:r>
            <w:r w:rsidR="00345599" w:rsidRPr="00345599">
              <w:rPr>
                <w:rFonts w:ascii="Arial" w:hAnsi="Arial"/>
                <w:sz w:val="22"/>
                <w:szCs w:val="22"/>
                <w:lang w:val="fr-CH" w:eastAsia="de-CH"/>
              </w:rPr>
              <w:t>se pose</w:t>
            </w:r>
            <w:r w:rsidR="00345599">
              <w:rPr>
                <w:rFonts w:ascii="Arial" w:hAnsi="Arial"/>
                <w:sz w:val="22"/>
                <w:szCs w:val="22"/>
                <w:lang w:val="fr-CH" w:eastAsia="de-CH"/>
              </w:rPr>
              <w:t>r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la question </w:t>
            </w:r>
            <w:r w:rsidR="00345599" w:rsidRPr="00345599">
              <w:rPr>
                <w:rFonts w:ascii="Arial" w:hAnsi="Arial"/>
                <w:sz w:val="22"/>
                <w:szCs w:val="22"/>
                <w:lang w:val="fr-CH" w:eastAsia="de-CH"/>
              </w:rPr>
              <w:t>d‘é</w:t>
            </w:r>
            <w:r w:rsidR="006D48B7">
              <w:rPr>
                <w:rFonts w:ascii="Arial" w:hAnsi="Arial"/>
                <w:sz w:val="22"/>
                <w:szCs w:val="22"/>
                <w:lang w:val="fr-CH" w:eastAsia="de-CH"/>
              </w:rPr>
              <w:t>ventuel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>s dommages-intérêts</w:t>
            </w:r>
            <w:r w:rsidR="006D48B7">
              <w:rPr>
                <w:rFonts w:ascii="Arial" w:hAnsi="Arial"/>
                <w:sz w:val="22"/>
                <w:szCs w:val="22"/>
                <w:lang w:val="fr-CH" w:eastAsia="de-CH"/>
              </w:rPr>
              <w:t>.</w:t>
            </w:r>
            <w:r w:rsidRPr="00345599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</w:t>
            </w:r>
          </w:p>
          <w:p w:rsidR="007F760F" w:rsidRPr="00345599" w:rsidRDefault="007F760F" w:rsidP="006D48B7">
            <w:pPr>
              <w:tabs>
                <w:tab w:val="left" w:pos="357"/>
              </w:tabs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</w:tr>
    </w:tbl>
    <w:p w:rsidR="00DE598F" w:rsidRPr="00345599" w:rsidRDefault="00DE598F" w:rsidP="00DE598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  <w:lang w:val="fr-CH" w:eastAsia="de-CH"/>
        </w:rPr>
      </w:pPr>
    </w:p>
    <w:sectPr w:rsidR="00DE598F" w:rsidRPr="00345599" w:rsidSect="00F54484">
      <w:headerReference w:type="default" r:id="rId8"/>
      <w:footerReference w:type="default" r:id="rId9"/>
      <w:pgSz w:w="11906" w:h="16838" w:code="9"/>
      <w:pgMar w:top="2516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3D" w:rsidRDefault="00E5543D">
      <w:r>
        <w:separator/>
      </w:r>
    </w:p>
  </w:endnote>
  <w:endnote w:type="continuationSeparator" w:id="0">
    <w:p w:rsidR="00E5543D" w:rsidRDefault="00E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345599" w:rsidRDefault="00345599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345599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345599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>Annexe</w:t>
    </w:r>
    <w:r w:rsidR="00A83365" w:rsidRPr="00345599">
      <w:rPr>
        <w:b w:val="0"/>
        <w:color w:val="7F7F7F"/>
        <w:sz w:val="16"/>
        <w:szCs w:val="16"/>
        <w:lang w:val="fr-CH" w:eastAsia="de-CH"/>
      </w:rPr>
      <w:t xml:space="preserve"> </w:t>
    </w:r>
    <w:r w:rsidR="00DE598F" w:rsidRPr="00345599">
      <w:rPr>
        <w:b w:val="0"/>
        <w:color w:val="7F7F7F"/>
        <w:sz w:val="16"/>
        <w:szCs w:val="16"/>
        <w:lang w:val="fr-CH" w:eastAsia="de-CH"/>
      </w:rPr>
      <w:t>17</w:t>
    </w:r>
    <w:r w:rsidR="00136C1D" w:rsidRPr="00345599">
      <w:rPr>
        <w:b w:val="0"/>
        <w:color w:val="7F7F7F"/>
        <w:sz w:val="16"/>
        <w:szCs w:val="16"/>
        <w:lang w:val="fr-CH" w:eastAsia="de-CH"/>
      </w:rPr>
      <w:tab/>
    </w:r>
  </w:p>
  <w:p w:rsidR="00136C1D" w:rsidRPr="00345599" w:rsidRDefault="00AD0C16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345599">
      <w:rPr>
        <w:b w:val="0"/>
        <w:color w:val="7F7F7F"/>
        <w:sz w:val="16"/>
        <w:szCs w:val="16"/>
        <w:lang w:val="fr-CH" w:eastAsia="de-CH"/>
      </w:rPr>
      <w:t>Version</w:t>
    </w:r>
    <w:r w:rsidR="00136C1D" w:rsidRPr="00345599">
      <w:rPr>
        <w:b w:val="0"/>
        <w:color w:val="7F7F7F"/>
        <w:sz w:val="16"/>
        <w:szCs w:val="16"/>
        <w:lang w:val="fr-CH" w:eastAsia="de-CH"/>
      </w:rPr>
      <w:t xml:space="preserve"> </w:t>
    </w:r>
    <w:r w:rsidR="00345599">
      <w:rPr>
        <w:b w:val="0"/>
        <w:color w:val="7F7F7F"/>
        <w:sz w:val="16"/>
        <w:szCs w:val="16"/>
        <w:lang w:val="fr-CH" w:eastAsia="de-CH"/>
      </w:rPr>
      <w:t>juillet</w:t>
    </w:r>
    <w:r w:rsidR="00136C1D" w:rsidRPr="00345599">
      <w:rPr>
        <w:b w:val="0"/>
        <w:color w:val="7F7F7F"/>
        <w:sz w:val="16"/>
        <w:szCs w:val="16"/>
        <w:lang w:val="fr-CH" w:eastAsia="de-CH"/>
      </w:rPr>
      <w:t xml:space="preserve"> 2014</w:t>
    </w:r>
    <w:r w:rsidR="00A83365" w:rsidRPr="00345599">
      <w:rPr>
        <w:b w:val="0"/>
        <w:color w:val="7F7F7F"/>
        <w:sz w:val="16"/>
        <w:szCs w:val="16"/>
        <w:lang w:val="fr-CH" w:eastAsia="de-CH"/>
      </w:rPr>
      <w:tab/>
    </w:r>
    <w:r w:rsidR="00345599" w:rsidRPr="00345599">
      <w:rPr>
        <w:b w:val="0"/>
        <w:color w:val="7F7F7F"/>
        <w:sz w:val="16"/>
        <w:szCs w:val="16"/>
        <w:lang w:val="fr-CH" w:eastAsia="de-CH"/>
      </w:rPr>
      <w:t>Actes nécessitant le concours de l‘autorité</w:t>
    </w:r>
    <w:r w:rsidR="00136C1D" w:rsidRPr="00345599">
      <w:rPr>
        <w:b w:val="0"/>
        <w:color w:val="7F7F7F"/>
        <w:sz w:val="16"/>
        <w:szCs w:val="16"/>
        <w:lang w:val="fr-CH" w:eastAsia="de-CH"/>
      </w:rPr>
      <w:tab/>
    </w:r>
  </w:p>
  <w:p w:rsidR="00A83365" w:rsidRPr="00345599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</w:p>
  <w:p w:rsidR="00136C1D" w:rsidRPr="00345599" w:rsidRDefault="00136C1D" w:rsidP="00136C1D">
    <w:pPr>
      <w:ind w:left="-1418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3D" w:rsidRDefault="00E5543D">
      <w:r>
        <w:separator/>
      </w:r>
    </w:p>
  </w:footnote>
  <w:footnote w:type="continuationSeparator" w:id="0">
    <w:p w:rsidR="00E5543D" w:rsidRDefault="00E5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66298C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7150735</wp:posOffset>
              </wp:positionH>
              <wp:positionV relativeFrom="page">
                <wp:posOffset>5706745</wp:posOffset>
              </wp:positionV>
              <wp:extent cx="407035" cy="329565"/>
              <wp:effectExtent l="0" t="1270" r="0" b="254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0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36" w:rsidRPr="00325936" w:rsidRDefault="00325936" w:rsidP="00325936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4CD1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1</w: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63.05pt;margin-top:449.35pt;width:32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kgQIAAAQFAAAOAAAAZHJzL2Uyb0RvYy54bWysVNuO2yAQfa/Uf0C8Z31ZO4mtdVZ7aapK&#10;23bVbT+AAI7RYqBA4myr/nsHnGSzbR+qqn7ADAyHMzNnuLjc9RJtuXVCqwZnZylGXFHNhFo3+Mvn&#10;5WSOkfNEMSK14g1+4g5fLl6/uhhMzXPdacm4RQCiXD2YBnfemzpJHO14T9yZNlzBZqttTzyYdp0w&#10;SwZA72WSp+k0GbRlxmrKnYPV23ETLyJ+23LqP7at4x7JBgM3H0cbx1UYk8UFqdeWmE7QPQ3yDyx6&#10;IhRceoS6JZ6gjRW/QfWCWu1068+o7hPdtoLyGANEk6W/RPPQEcNjLJAcZ45pcv8Pln7Y3lskWINz&#10;jBTpoUSfOO08p4+oCNkZjKvB6cHc2xCfM3eaPjqk9E1H1JpfWauHjhMGnLLgn7w4EAwHR9FqeK8Z&#10;gJON1zFRu9b2ARBSgHaxHk/HevCdRxQWi3SWnpcYUdg6z6tyWsYbSH04bKzzb7nuUZg02EK5IzjZ&#10;3jkfyJD64BLJaynYUkgZDbte3UiLtgSksYzfHt2dukkVnJUOx0bEcQU4wh1hL7CNpf5eZXmRXufV&#10;ZDmdzybFsign1SydT9Ksuq6maVEVt8sfgWBW1J1gjKs7ofhBdlnxd2XdN8AomCg8NDS4KvMyxv6C&#10;vTsNMo3fn4LshYculKJv8PzoROpQ1zeKQdik9kTIcZ68pB+zDDk4/GNWogpC4UcB+d1qByhBDSvN&#10;nkAPVkO9oCHh6YBJp+03jAZowwa7rxtiOUbynQJNVVlRhL6NRlHOcjDs6c7qdIcoClAN9hiN0xs/&#10;9vrGWLHu4KYs5kjpK9BhK6JGnlnt1QutFoPZPwuhl0/t6PX8eC1+AgAA//8DAFBLAwQUAAYACAAA&#10;ACEApJr7F+AAAAANAQAADwAAAGRycy9kb3ducmV2LnhtbEyPwU7DMBBE70j8g7VI3KidQE2SxqkQ&#10;Uk/AgRaJ6zZ2k6jxOsROG/4e90SPo32aeVuuZ9uzkxl950hBshDADNVOd9Qo+NptHjJgPiBp7B0Z&#10;Bb/Gw7q6vSmx0O5Mn+a0DQ2LJeQLVNCGMBSc+7o1Fv3CDYbi7eBGiyHGseF6xHMstz1PhZDcYkdx&#10;ocXBvLamPm4nqwDlk/75ODy+794miXkzi83yWyh1fze/rIAFM4d/GC76UR2q6LR3E2nP+piTVCaR&#10;VZDl2TOwC5LkIgW2V5AvhQRelfz6i+oPAAD//wMAUEsBAi0AFAAGAAgAAAAhALaDOJL+AAAA4QEA&#10;ABMAAAAAAAAAAAAAAAAAAAAAAFtDb250ZW50X1R5cGVzXS54bWxQSwECLQAUAAYACAAAACEAOP0h&#10;/9YAAACUAQAACwAAAAAAAAAAAAAAAAAvAQAAX3JlbHMvLnJlbHNQSwECLQAUAAYACAAAACEAxki/&#10;pIECAAAEBQAADgAAAAAAAAAAAAAAAAAuAgAAZHJzL2Uyb0RvYy54bWxQSwECLQAUAAYACAAAACEA&#10;pJr7F+AAAAANAQAADwAAAAAAAAAAAAAAAADbBAAAZHJzL2Rvd25yZXYueG1sUEsFBgAAAAAEAAQA&#10;8wAAAOgFAAAAAA==&#10;" o:allowincell="f" stroked="f">
              <v:textbox>
                <w:txbxContent>
                  <w:p w:rsidR="00325936" w:rsidRPr="00325936" w:rsidRDefault="00325936" w:rsidP="00325936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364CD1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1</w: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3331"/>
    <w:multiLevelType w:val="singleLevel"/>
    <w:tmpl w:val="0807000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00C72"/>
    <w:rsid w:val="00031F93"/>
    <w:rsid w:val="0004427C"/>
    <w:rsid w:val="00044917"/>
    <w:rsid w:val="00105072"/>
    <w:rsid w:val="001143DD"/>
    <w:rsid w:val="0011737B"/>
    <w:rsid w:val="00136C1D"/>
    <w:rsid w:val="00140BB8"/>
    <w:rsid w:val="00151F6A"/>
    <w:rsid w:val="00183080"/>
    <w:rsid w:val="001B605D"/>
    <w:rsid w:val="00201540"/>
    <w:rsid w:val="00214D45"/>
    <w:rsid w:val="00217E40"/>
    <w:rsid w:val="00247375"/>
    <w:rsid w:val="00250834"/>
    <w:rsid w:val="00276647"/>
    <w:rsid w:val="002A3EF4"/>
    <w:rsid w:val="002C262D"/>
    <w:rsid w:val="002D0B0F"/>
    <w:rsid w:val="002E0143"/>
    <w:rsid w:val="002F2A68"/>
    <w:rsid w:val="003019AB"/>
    <w:rsid w:val="00321507"/>
    <w:rsid w:val="00323C25"/>
    <w:rsid w:val="00325936"/>
    <w:rsid w:val="00345599"/>
    <w:rsid w:val="00364CD1"/>
    <w:rsid w:val="00384AE3"/>
    <w:rsid w:val="003A371D"/>
    <w:rsid w:val="00402334"/>
    <w:rsid w:val="00435BA5"/>
    <w:rsid w:val="004C0D8F"/>
    <w:rsid w:val="0053287C"/>
    <w:rsid w:val="005556D9"/>
    <w:rsid w:val="005573EB"/>
    <w:rsid w:val="00595982"/>
    <w:rsid w:val="005C34B6"/>
    <w:rsid w:val="005D1371"/>
    <w:rsid w:val="005E3423"/>
    <w:rsid w:val="00621AD8"/>
    <w:rsid w:val="00630078"/>
    <w:rsid w:val="00637D7A"/>
    <w:rsid w:val="00647FDF"/>
    <w:rsid w:val="0066298C"/>
    <w:rsid w:val="006D48B7"/>
    <w:rsid w:val="006D4BE8"/>
    <w:rsid w:val="00767F22"/>
    <w:rsid w:val="007B1882"/>
    <w:rsid w:val="007D11B3"/>
    <w:rsid w:val="007F760F"/>
    <w:rsid w:val="008726E7"/>
    <w:rsid w:val="00892C0B"/>
    <w:rsid w:val="00946D50"/>
    <w:rsid w:val="00A01B09"/>
    <w:rsid w:val="00A74F5C"/>
    <w:rsid w:val="00A77679"/>
    <w:rsid w:val="00A83365"/>
    <w:rsid w:val="00AC522E"/>
    <w:rsid w:val="00AD0C16"/>
    <w:rsid w:val="00B217C6"/>
    <w:rsid w:val="00B67C87"/>
    <w:rsid w:val="00B9444A"/>
    <w:rsid w:val="00BF5E4E"/>
    <w:rsid w:val="00C27C46"/>
    <w:rsid w:val="00C352EC"/>
    <w:rsid w:val="00C63766"/>
    <w:rsid w:val="00C72268"/>
    <w:rsid w:val="00C73AE4"/>
    <w:rsid w:val="00C91AC1"/>
    <w:rsid w:val="00CB0A96"/>
    <w:rsid w:val="00CF6BB5"/>
    <w:rsid w:val="00D15CED"/>
    <w:rsid w:val="00D24C44"/>
    <w:rsid w:val="00DE598F"/>
    <w:rsid w:val="00DF4D98"/>
    <w:rsid w:val="00E5543D"/>
    <w:rsid w:val="00E65F7A"/>
    <w:rsid w:val="00F06B5F"/>
    <w:rsid w:val="00F33FE3"/>
    <w:rsid w:val="00F42724"/>
    <w:rsid w:val="00F54484"/>
    <w:rsid w:val="00FA2083"/>
    <w:rsid w:val="00FC0DED"/>
    <w:rsid w:val="00FC3650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1B60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605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1B60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605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3</cp:revision>
  <cp:lastPrinted>2009-12-09T09:37:00Z</cp:lastPrinted>
  <dcterms:created xsi:type="dcterms:W3CDTF">2014-10-23T06:03:00Z</dcterms:created>
  <dcterms:modified xsi:type="dcterms:W3CDTF">2014-10-27T07:23:00Z</dcterms:modified>
</cp:coreProperties>
</file>