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66" w:rsidRPr="00CA78E0" w:rsidRDefault="00753987" w:rsidP="00760666">
      <w:pPr>
        <w:ind w:left="426"/>
        <w:rPr>
          <w:rFonts w:ascii="Arial" w:hAnsi="Arial"/>
          <w:b/>
          <w:color w:val="0000FF"/>
          <w:sz w:val="28"/>
          <w:szCs w:val="28"/>
          <w:lang w:val="fr-CH" w:eastAsia="de-CH"/>
        </w:rPr>
      </w:pPr>
      <w:r>
        <w:rPr>
          <w:rFonts w:ascii="Arial" w:hAnsi="Arial"/>
          <w:b/>
          <w:color w:val="0000FF"/>
          <w:sz w:val="28"/>
          <w:szCs w:val="28"/>
          <w:lang w:val="fr-CH" w:eastAsia="de-CH"/>
        </w:rPr>
        <w:t>Notice «</w:t>
      </w:r>
      <w:r w:rsidR="00825EA0" w:rsidRPr="00CA78E0">
        <w:rPr>
          <w:rFonts w:ascii="Arial" w:hAnsi="Arial"/>
          <w:b/>
          <w:color w:val="0000FF"/>
          <w:sz w:val="28"/>
          <w:szCs w:val="28"/>
          <w:lang w:val="fr-CH" w:eastAsia="de-CH"/>
        </w:rPr>
        <w:t>Liquidation du ménage</w:t>
      </w:r>
      <w:bookmarkStart w:id="0" w:name="_GoBack"/>
      <w:bookmarkEnd w:id="0"/>
      <w:r w:rsidR="00825EA0" w:rsidRPr="00CA78E0">
        <w:rPr>
          <w:rFonts w:ascii="Arial" w:hAnsi="Arial"/>
          <w:b/>
          <w:color w:val="0000FF"/>
          <w:sz w:val="28"/>
          <w:szCs w:val="28"/>
          <w:lang w:val="fr-CH" w:eastAsia="de-CH"/>
        </w:rPr>
        <w:t>»</w:t>
      </w:r>
    </w:p>
    <w:p w:rsidR="00760666" w:rsidRPr="00CA78E0" w:rsidRDefault="00760666" w:rsidP="00760666">
      <w:pPr>
        <w:ind w:left="426"/>
        <w:rPr>
          <w:rFonts w:ascii="Arial" w:hAnsi="Arial"/>
          <w:szCs w:val="20"/>
          <w:lang w:val="fr-CH" w:eastAsia="de-CH"/>
        </w:rPr>
      </w:pPr>
    </w:p>
    <w:p w:rsidR="00495865" w:rsidRPr="00CA78E0" w:rsidRDefault="00495865" w:rsidP="00495865">
      <w:pPr>
        <w:ind w:left="426"/>
        <w:rPr>
          <w:rFonts w:ascii="Arial" w:hAnsi="Arial" w:cs="Arial"/>
          <w:b/>
          <w:sz w:val="22"/>
          <w:szCs w:val="22"/>
          <w:lang w:val="fr-CH" w:eastAsia="de-CH"/>
        </w:rPr>
      </w:pPr>
    </w:p>
    <w:p w:rsidR="00760666" w:rsidRPr="00CA78E0" w:rsidRDefault="004950D3" w:rsidP="00760666">
      <w:pPr>
        <w:numPr>
          <w:ilvl w:val="0"/>
          <w:numId w:val="1"/>
        </w:numPr>
        <w:tabs>
          <w:tab w:val="num" w:pos="0"/>
        </w:tabs>
        <w:ind w:left="426" w:firstLine="0"/>
        <w:rPr>
          <w:rFonts w:ascii="Arial" w:hAnsi="Arial" w:cs="Arial"/>
          <w:b/>
          <w:sz w:val="22"/>
          <w:szCs w:val="22"/>
          <w:lang w:val="fr-CH" w:eastAsia="de-CH"/>
        </w:rPr>
      </w:pPr>
      <w:r w:rsidRPr="00CA78E0">
        <w:rPr>
          <w:rFonts w:ascii="Arial" w:hAnsi="Arial" w:cs="Arial"/>
          <w:b/>
          <w:sz w:val="22"/>
          <w:szCs w:val="22"/>
          <w:u w:val="single"/>
          <w:lang w:val="fr-CH" w:eastAsia="de-CH"/>
        </w:rPr>
        <w:t>Situation initiale</w:t>
      </w: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4950D3"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Les curateurs et curatrices peuvent être confrontés à la situation de devoir liquider le ménage de la personne dont ils s’occupent.</w:t>
      </w:r>
      <w:r w:rsidR="00760666" w:rsidRPr="00CA78E0">
        <w:rPr>
          <w:rFonts w:ascii="Arial" w:hAnsi="Arial" w:cs="Arial"/>
          <w:sz w:val="22"/>
          <w:szCs w:val="22"/>
          <w:lang w:val="fr-CH" w:eastAsia="de-CH"/>
        </w:rPr>
        <w:t xml:space="preserve"> </w:t>
      </w:r>
      <w:r w:rsidRPr="00CA78E0">
        <w:rPr>
          <w:rFonts w:ascii="Arial" w:hAnsi="Arial" w:cs="Arial"/>
          <w:sz w:val="22"/>
          <w:szCs w:val="22"/>
          <w:lang w:val="fr-CH" w:eastAsia="de-CH"/>
        </w:rPr>
        <w:t xml:space="preserve">C’est </w:t>
      </w:r>
      <w:r w:rsidR="0078015A" w:rsidRPr="00CA78E0">
        <w:rPr>
          <w:rFonts w:ascii="Arial" w:hAnsi="Arial" w:cs="Arial"/>
          <w:sz w:val="22"/>
          <w:szCs w:val="22"/>
          <w:lang w:val="fr-CH" w:eastAsia="de-CH"/>
        </w:rPr>
        <w:t>le</w:t>
      </w:r>
      <w:r w:rsidRPr="00CA78E0">
        <w:rPr>
          <w:rFonts w:ascii="Arial" w:hAnsi="Arial" w:cs="Arial"/>
          <w:sz w:val="22"/>
          <w:szCs w:val="22"/>
          <w:lang w:val="fr-CH" w:eastAsia="de-CH"/>
        </w:rPr>
        <w:t xml:space="preserve"> cas notamment lorsque la personne âgée </w:t>
      </w:r>
      <w:r w:rsidR="0078015A" w:rsidRPr="00CA78E0">
        <w:rPr>
          <w:rFonts w:ascii="Arial" w:hAnsi="Arial" w:cs="Arial"/>
          <w:sz w:val="22"/>
          <w:szCs w:val="22"/>
          <w:lang w:val="fr-CH" w:eastAsia="de-CH"/>
        </w:rPr>
        <w:t>a besoin</w:t>
      </w:r>
      <w:r w:rsidRPr="00CA78E0">
        <w:rPr>
          <w:rFonts w:ascii="Arial" w:hAnsi="Arial" w:cs="Arial"/>
          <w:sz w:val="22"/>
          <w:szCs w:val="22"/>
          <w:lang w:val="fr-CH" w:eastAsia="de-CH"/>
        </w:rPr>
        <w:t xml:space="preserve"> de soins dans un cadre institutionnel et ne peut </w:t>
      </w:r>
      <w:r w:rsidR="0078015A" w:rsidRPr="00CA78E0">
        <w:rPr>
          <w:rFonts w:ascii="Arial" w:hAnsi="Arial" w:cs="Arial"/>
          <w:sz w:val="22"/>
          <w:szCs w:val="22"/>
          <w:lang w:val="fr-CH" w:eastAsia="de-CH"/>
        </w:rPr>
        <w:t xml:space="preserve">définitivement </w:t>
      </w:r>
      <w:r w:rsidRPr="00CA78E0">
        <w:rPr>
          <w:rFonts w:ascii="Arial" w:hAnsi="Arial" w:cs="Arial"/>
          <w:sz w:val="22"/>
          <w:szCs w:val="22"/>
          <w:lang w:val="fr-CH" w:eastAsia="de-CH"/>
        </w:rPr>
        <w:t xml:space="preserve">plus rester dans son appartement. </w:t>
      </w:r>
      <w:r w:rsidR="0078015A" w:rsidRPr="00CA78E0">
        <w:rPr>
          <w:rFonts w:ascii="Arial" w:hAnsi="Arial" w:cs="Arial"/>
          <w:sz w:val="22"/>
          <w:szCs w:val="22"/>
          <w:lang w:val="fr-CH" w:eastAsia="de-CH"/>
        </w:rPr>
        <w:t>La liquidation du ménage est</w:t>
      </w:r>
      <w:r w:rsidR="00CA78E0">
        <w:rPr>
          <w:rFonts w:ascii="Arial" w:hAnsi="Arial" w:cs="Arial"/>
          <w:sz w:val="22"/>
          <w:szCs w:val="22"/>
          <w:lang w:val="fr-CH" w:eastAsia="de-CH"/>
        </w:rPr>
        <w:t xml:space="preserve"> une mesure qui,</w:t>
      </w:r>
      <w:r w:rsidR="00CA78E0" w:rsidRPr="00CA78E0">
        <w:rPr>
          <w:rFonts w:ascii="Arial" w:hAnsi="Arial" w:cs="Arial"/>
          <w:sz w:val="22"/>
          <w:szCs w:val="22"/>
          <w:lang w:val="fr-CH" w:eastAsia="de-CH"/>
        </w:rPr>
        <w:t xml:space="preserve"> du point de vue juridique</w:t>
      </w:r>
      <w:r w:rsidR="00CA78E0">
        <w:rPr>
          <w:rFonts w:ascii="Arial" w:hAnsi="Arial" w:cs="Arial"/>
          <w:sz w:val="22"/>
          <w:szCs w:val="22"/>
          <w:lang w:val="fr-CH" w:eastAsia="de-CH"/>
        </w:rPr>
        <w:t>,</w:t>
      </w:r>
      <w:r w:rsidR="00CA78E0" w:rsidRPr="00CA78E0">
        <w:rPr>
          <w:rFonts w:ascii="Arial" w:hAnsi="Arial" w:cs="Arial"/>
          <w:sz w:val="22"/>
          <w:szCs w:val="22"/>
          <w:lang w:val="fr-CH" w:eastAsia="de-CH"/>
        </w:rPr>
        <w:t xml:space="preserve"> </w:t>
      </w:r>
      <w:r w:rsidR="0078015A" w:rsidRPr="00CA78E0">
        <w:rPr>
          <w:rFonts w:ascii="Arial" w:hAnsi="Arial" w:cs="Arial"/>
          <w:sz w:val="22"/>
          <w:szCs w:val="22"/>
          <w:lang w:val="fr-CH" w:eastAsia="de-CH"/>
        </w:rPr>
        <w:t xml:space="preserve">outrepasse l’administration ordinaire et nécessite par conséquent le </w:t>
      </w:r>
      <w:r w:rsidR="0078015A" w:rsidRPr="00CA78E0">
        <w:rPr>
          <w:rFonts w:ascii="Arial" w:hAnsi="Arial" w:cs="Arial"/>
          <w:b/>
          <w:sz w:val="22"/>
          <w:szCs w:val="22"/>
          <w:lang w:val="fr-CH" w:eastAsia="de-CH"/>
        </w:rPr>
        <w:t>consentement</w:t>
      </w:r>
      <w:r w:rsidR="0078015A" w:rsidRPr="00CA78E0">
        <w:rPr>
          <w:rFonts w:ascii="Arial" w:hAnsi="Arial" w:cs="Arial"/>
          <w:sz w:val="22"/>
          <w:szCs w:val="22"/>
          <w:lang w:val="fr-CH" w:eastAsia="de-CH"/>
        </w:rPr>
        <w:t xml:space="preserve"> de la personne concernée.</w:t>
      </w:r>
      <w:r w:rsidR="00760666" w:rsidRPr="00CA78E0">
        <w:rPr>
          <w:rFonts w:ascii="Arial" w:hAnsi="Arial" w:cs="Arial"/>
          <w:sz w:val="22"/>
          <w:szCs w:val="22"/>
          <w:lang w:val="fr-CH" w:eastAsia="de-CH"/>
        </w:rPr>
        <w:t xml:space="preserve"> </w:t>
      </w:r>
      <w:r w:rsidR="0078015A" w:rsidRPr="00CA78E0">
        <w:rPr>
          <w:rFonts w:ascii="Arial" w:hAnsi="Arial" w:cs="Arial"/>
          <w:sz w:val="22"/>
          <w:szCs w:val="22"/>
          <w:lang w:val="fr-CH" w:eastAsia="de-CH"/>
        </w:rPr>
        <w:t xml:space="preserve">Si cette dernière ne peut </w:t>
      </w:r>
      <w:r w:rsidR="00CA78E0">
        <w:rPr>
          <w:rFonts w:ascii="Arial" w:hAnsi="Arial" w:cs="Arial"/>
          <w:sz w:val="22"/>
          <w:szCs w:val="22"/>
          <w:lang w:val="fr-CH" w:eastAsia="de-CH"/>
        </w:rPr>
        <w:t>le donner</w:t>
      </w:r>
      <w:r w:rsidR="0078015A" w:rsidRPr="00CA78E0">
        <w:rPr>
          <w:rFonts w:ascii="Arial" w:hAnsi="Arial" w:cs="Arial"/>
          <w:sz w:val="22"/>
          <w:szCs w:val="22"/>
          <w:lang w:val="fr-CH" w:eastAsia="de-CH"/>
        </w:rPr>
        <w:t xml:space="preserve"> en raison de son incapacité de discernement, la résiliation du bail et la liquidation du ménage requièrent le consentement de l’APEA </w:t>
      </w:r>
      <w:r w:rsidR="00760666" w:rsidRPr="00CA78E0">
        <w:rPr>
          <w:rFonts w:ascii="Arial" w:hAnsi="Arial" w:cs="Arial"/>
          <w:sz w:val="22"/>
          <w:szCs w:val="22"/>
          <w:lang w:val="fr-CH" w:eastAsia="de-CH"/>
        </w:rPr>
        <w:t>(</w:t>
      </w:r>
      <w:r w:rsidR="0078015A" w:rsidRPr="00CA78E0">
        <w:rPr>
          <w:rFonts w:ascii="Arial" w:hAnsi="Arial" w:cs="Arial"/>
          <w:sz w:val="22"/>
          <w:szCs w:val="22"/>
          <w:lang w:val="fr-CH" w:eastAsia="de-CH"/>
        </w:rPr>
        <w:t>a</w:t>
      </w:r>
      <w:r w:rsidR="00760666" w:rsidRPr="00CA78E0">
        <w:rPr>
          <w:rFonts w:ascii="Arial" w:hAnsi="Arial" w:cs="Arial"/>
          <w:sz w:val="22"/>
          <w:szCs w:val="22"/>
          <w:lang w:val="fr-CH" w:eastAsia="de-CH"/>
        </w:rPr>
        <w:t xml:space="preserve">rt. 416 </w:t>
      </w:r>
      <w:r w:rsidR="0078015A" w:rsidRPr="00CA78E0">
        <w:rPr>
          <w:rFonts w:ascii="Arial" w:hAnsi="Arial" w:cs="Arial"/>
          <w:sz w:val="22"/>
          <w:szCs w:val="22"/>
          <w:lang w:val="fr-CH" w:eastAsia="de-CH"/>
        </w:rPr>
        <w:t>al.</w:t>
      </w:r>
      <w:r w:rsidR="00760666" w:rsidRPr="00CA78E0">
        <w:rPr>
          <w:rFonts w:ascii="Arial" w:hAnsi="Arial" w:cs="Arial"/>
          <w:sz w:val="22"/>
          <w:szCs w:val="22"/>
          <w:lang w:val="fr-CH" w:eastAsia="de-CH"/>
        </w:rPr>
        <w:t xml:space="preserve"> 1 </w:t>
      </w:r>
      <w:r w:rsidR="0078015A" w:rsidRPr="00CA78E0">
        <w:rPr>
          <w:rFonts w:ascii="Arial" w:hAnsi="Arial" w:cs="Arial"/>
          <w:sz w:val="22"/>
          <w:szCs w:val="22"/>
          <w:lang w:val="fr-CH" w:eastAsia="de-CH"/>
        </w:rPr>
        <w:t>ch</w:t>
      </w:r>
      <w:r w:rsidR="00760666" w:rsidRPr="00CA78E0">
        <w:rPr>
          <w:rFonts w:ascii="Arial" w:hAnsi="Arial" w:cs="Arial"/>
          <w:sz w:val="22"/>
          <w:szCs w:val="22"/>
          <w:lang w:val="fr-CH" w:eastAsia="de-CH"/>
        </w:rPr>
        <w:t xml:space="preserve">. 1 </w:t>
      </w:r>
      <w:r w:rsidR="0078015A" w:rsidRPr="00CA78E0">
        <w:rPr>
          <w:rFonts w:ascii="Arial" w:hAnsi="Arial" w:cs="Arial"/>
          <w:sz w:val="22"/>
          <w:szCs w:val="22"/>
          <w:lang w:val="fr-CH" w:eastAsia="de-CH"/>
        </w:rPr>
        <w:t>CC</w:t>
      </w:r>
      <w:r w:rsidR="00760666" w:rsidRPr="00CA78E0">
        <w:rPr>
          <w:rFonts w:ascii="Arial" w:hAnsi="Arial" w:cs="Arial"/>
          <w:sz w:val="22"/>
          <w:szCs w:val="22"/>
          <w:lang w:val="fr-CH" w:eastAsia="de-CH"/>
        </w:rPr>
        <w:t>).</w:t>
      </w:r>
    </w:p>
    <w:p w:rsidR="00F11403" w:rsidRPr="00CA78E0" w:rsidRDefault="00F11403" w:rsidP="00294C63">
      <w:pPr>
        <w:tabs>
          <w:tab w:val="num" w:pos="0"/>
        </w:tabs>
        <w:ind w:left="426"/>
        <w:jc w:val="both"/>
        <w:rPr>
          <w:rFonts w:ascii="Arial" w:hAnsi="Arial" w:cs="Arial"/>
          <w:sz w:val="22"/>
          <w:szCs w:val="22"/>
          <w:lang w:val="fr-CH" w:eastAsia="de-CH"/>
        </w:rPr>
      </w:pP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78015A" w:rsidP="00294C63">
      <w:pPr>
        <w:numPr>
          <w:ilvl w:val="0"/>
          <w:numId w:val="1"/>
        </w:numPr>
        <w:tabs>
          <w:tab w:val="num" w:pos="0"/>
        </w:tabs>
        <w:ind w:left="426" w:firstLine="0"/>
        <w:jc w:val="both"/>
        <w:rPr>
          <w:rFonts w:ascii="Arial" w:hAnsi="Arial" w:cs="Arial"/>
          <w:b/>
          <w:sz w:val="22"/>
          <w:szCs w:val="22"/>
          <w:u w:val="single"/>
          <w:lang w:val="fr-CH" w:eastAsia="de-CH"/>
        </w:rPr>
      </w:pPr>
      <w:r w:rsidRPr="00CA78E0">
        <w:rPr>
          <w:rFonts w:ascii="Arial" w:hAnsi="Arial" w:cs="Arial"/>
          <w:b/>
          <w:sz w:val="22"/>
          <w:szCs w:val="22"/>
          <w:u w:val="single"/>
          <w:lang w:val="fr-CH" w:eastAsia="de-CH"/>
        </w:rPr>
        <w:t>Conditions pour la liquidation du ménage</w:t>
      </w:r>
    </w:p>
    <w:p w:rsidR="00760666" w:rsidRPr="00CA78E0" w:rsidRDefault="00760666" w:rsidP="00294C63">
      <w:pPr>
        <w:tabs>
          <w:tab w:val="num" w:pos="0"/>
        </w:tabs>
        <w:ind w:left="426"/>
        <w:jc w:val="both"/>
        <w:rPr>
          <w:rFonts w:ascii="Arial" w:hAnsi="Arial" w:cs="Arial"/>
          <w:sz w:val="22"/>
          <w:szCs w:val="22"/>
          <w:lang w:val="fr-CH" w:eastAsia="de-CH"/>
        </w:rPr>
      </w:pPr>
    </w:p>
    <w:p w:rsidR="0078015A" w:rsidRPr="00CA78E0" w:rsidRDefault="00F7227A"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La question de la résiliation du bail et de la liquidation du ménage se pose lorsqu'un certificat médical atteste que la personne en question,</w:t>
      </w:r>
      <w:r w:rsidR="00CA78E0">
        <w:rPr>
          <w:rFonts w:ascii="Arial" w:hAnsi="Arial" w:cs="Arial"/>
          <w:sz w:val="22"/>
          <w:szCs w:val="22"/>
          <w:lang w:val="fr-CH" w:eastAsia="de-CH"/>
        </w:rPr>
        <w:t xml:space="preserve"> même avec l'aide de</w:t>
      </w:r>
      <w:r w:rsidRPr="00CA78E0">
        <w:rPr>
          <w:rFonts w:ascii="Arial" w:hAnsi="Arial" w:cs="Arial"/>
          <w:sz w:val="22"/>
          <w:szCs w:val="22"/>
          <w:lang w:val="fr-CH" w:eastAsia="de-CH"/>
        </w:rPr>
        <w:t xml:space="preserve"> services ambulatoires,</w:t>
      </w:r>
      <w:r w:rsidRPr="00CA78E0">
        <w:rPr>
          <w:rFonts w:ascii="Arial" w:hAnsi="Arial" w:cs="Arial"/>
          <w:b/>
          <w:sz w:val="22"/>
          <w:szCs w:val="22"/>
          <w:lang w:val="fr-CH" w:eastAsia="de-CH"/>
        </w:rPr>
        <w:t xml:space="preserve"> n'est plus en mesure d’avoir son propre logement</w:t>
      </w:r>
      <w:r w:rsidRPr="00CA78E0">
        <w:rPr>
          <w:rFonts w:ascii="Arial" w:hAnsi="Arial" w:cs="Arial"/>
          <w:sz w:val="22"/>
          <w:szCs w:val="22"/>
          <w:lang w:val="fr-CH" w:eastAsia="de-CH"/>
        </w:rPr>
        <w:t xml:space="preserve">. </w:t>
      </w:r>
      <w:r w:rsidR="00CA78E0">
        <w:rPr>
          <w:rFonts w:ascii="Arial" w:hAnsi="Arial" w:cs="Arial"/>
          <w:sz w:val="22"/>
          <w:szCs w:val="22"/>
          <w:lang w:val="fr-CH" w:eastAsia="de-CH"/>
        </w:rPr>
        <w:t>Lorsque</w:t>
      </w:r>
      <w:r w:rsidRPr="00CA78E0">
        <w:rPr>
          <w:rFonts w:ascii="Arial" w:hAnsi="Arial" w:cs="Arial"/>
          <w:sz w:val="22"/>
          <w:szCs w:val="22"/>
          <w:lang w:val="fr-CH" w:eastAsia="de-CH"/>
        </w:rPr>
        <w:t xml:space="preserve"> ces circonstances sont données, le curateur doit examiner si les intérêts de la personne commandent de résilier le bail et liquider le ménage. La sauvegarde des intérêts financiers </w:t>
      </w:r>
      <w:r w:rsidR="00CA78E0">
        <w:rPr>
          <w:rFonts w:ascii="Arial" w:hAnsi="Arial" w:cs="Arial"/>
          <w:sz w:val="22"/>
          <w:szCs w:val="22"/>
          <w:lang w:val="fr-CH" w:eastAsia="de-CH"/>
        </w:rPr>
        <w:t xml:space="preserve">de la personne concernée </w:t>
      </w:r>
      <w:r w:rsidRPr="00CA78E0">
        <w:rPr>
          <w:rFonts w:ascii="Arial" w:hAnsi="Arial" w:cs="Arial"/>
          <w:sz w:val="22"/>
          <w:szCs w:val="22"/>
          <w:lang w:val="fr-CH" w:eastAsia="de-CH"/>
        </w:rPr>
        <w:t xml:space="preserve">est prioritaire </w:t>
      </w:r>
      <w:r w:rsidR="00CA78E0">
        <w:rPr>
          <w:rFonts w:ascii="Arial" w:hAnsi="Arial" w:cs="Arial"/>
          <w:sz w:val="22"/>
          <w:szCs w:val="22"/>
          <w:lang w:val="fr-CH" w:eastAsia="de-CH"/>
        </w:rPr>
        <w:t xml:space="preserve">et </w:t>
      </w:r>
      <w:r w:rsidRPr="00CA78E0">
        <w:rPr>
          <w:rFonts w:ascii="Arial" w:hAnsi="Arial" w:cs="Arial"/>
          <w:sz w:val="22"/>
          <w:szCs w:val="22"/>
          <w:lang w:val="fr-CH" w:eastAsia="de-CH"/>
        </w:rPr>
        <w:t xml:space="preserve">veut que des dépenses </w:t>
      </w:r>
      <w:r w:rsidR="00CA78E0">
        <w:rPr>
          <w:rFonts w:ascii="Arial" w:hAnsi="Arial" w:cs="Arial"/>
          <w:sz w:val="22"/>
          <w:szCs w:val="22"/>
          <w:lang w:val="fr-CH" w:eastAsia="de-CH"/>
        </w:rPr>
        <w:t xml:space="preserve">qui ne sont pas dans son </w:t>
      </w:r>
      <w:r w:rsidRPr="00CA78E0">
        <w:rPr>
          <w:rFonts w:ascii="Arial" w:hAnsi="Arial" w:cs="Arial"/>
          <w:sz w:val="22"/>
          <w:szCs w:val="22"/>
          <w:lang w:val="fr-CH" w:eastAsia="de-CH"/>
        </w:rPr>
        <w:t xml:space="preserve">intérêt soient évitées. En règle générale, le loyer d'un logement qui n'est plus habité fait partie des dépenses qui peuvent être évitées. </w:t>
      </w:r>
    </w:p>
    <w:p w:rsidR="0078015A" w:rsidRPr="00CA78E0" w:rsidRDefault="0078015A" w:rsidP="00294C63">
      <w:pPr>
        <w:tabs>
          <w:tab w:val="num" w:pos="0"/>
        </w:tabs>
        <w:ind w:left="426"/>
        <w:jc w:val="both"/>
        <w:rPr>
          <w:rFonts w:ascii="Arial" w:hAnsi="Arial" w:cs="Arial"/>
          <w:sz w:val="22"/>
          <w:szCs w:val="22"/>
          <w:lang w:val="fr-CH" w:eastAsia="de-CH"/>
        </w:rPr>
      </w:pPr>
    </w:p>
    <w:p w:rsidR="008025BB" w:rsidRPr="00CA78E0" w:rsidRDefault="008025BB" w:rsidP="008025BB">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S’agissant du délai dans lequel le ménage peut être liquidé, sa composition et sa valeur jouent un rôle déterminant. </w:t>
      </w:r>
      <w:r w:rsidR="00CA78E0">
        <w:rPr>
          <w:rFonts w:ascii="Arial" w:hAnsi="Arial" w:cs="Arial"/>
          <w:sz w:val="22"/>
          <w:szCs w:val="22"/>
          <w:lang w:val="fr-CH" w:eastAsia="de-CH"/>
        </w:rPr>
        <w:t>P</w:t>
      </w:r>
      <w:r w:rsidRPr="00CA78E0">
        <w:rPr>
          <w:rFonts w:ascii="Arial" w:hAnsi="Arial" w:cs="Arial"/>
          <w:sz w:val="22"/>
          <w:szCs w:val="22"/>
          <w:lang w:val="fr-CH" w:eastAsia="de-CH"/>
        </w:rPr>
        <w:t>ar exemple</w:t>
      </w:r>
      <w:r w:rsidR="00CA78E0">
        <w:rPr>
          <w:rFonts w:ascii="Arial" w:hAnsi="Arial" w:cs="Arial"/>
          <w:sz w:val="22"/>
          <w:szCs w:val="22"/>
          <w:lang w:val="fr-CH" w:eastAsia="de-CH"/>
        </w:rPr>
        <w:t>,</w:t>
      </w:r>
      <w:r w:rsidR="00CA78E0" w:rsidRPr="00CA78E0">
        <w:rPr>
          <w:rFonts w:ascii="Arial" w:hAnsi="Arial" w:cs="Arial"/>
          <w:sz w:val="22"/>
          <w:szCs w:val="22"/>
          <w:lang w:val="fr-CH" w:eastAsia="de-CH"/>
        </w:rPr>
        <w:t xml:space="preserve"> </w:t>
      </w:r>
      <w:r w:rsidR="00CA78E0">
        <w:rPr>
          <w:rFonts w:ascii="Arial" w:hAnsi="Arial" w:cs="Arial"/>
          <w:sz w:val="22"/>
          <w:szCs w:val="22"/>
          <w:lang w:val="fr-CH" w:eastAsia="de-CH"/>
        </w:rPr>
        <w:t>s</w:t>
      </w:r>
      <w:r w:rsidR="00CA78E0" w:rsidRPr="00CA78E0">
        <w:rPr>
          <w:rFonts w:ascii="Arial" w:hAnsi="Arial" w:cs="Arial"/>
          <w:sz w:val="22"/>
          <w:szCs w:val="22"/>
          <w:lang w:val="fr-CH" w:eastAsia="de-CH"/>
        </w:rPr>
        <w:t>i</w:t>
      </w:r>
      <w:r w:rsidRPr="00CA78E0">
        <w:rPr>
          <w:rFonts w:ascii="Arial" w:hAnsi="Arial" w:cs="Arial"/>
          <w:sz w:val="22"/>
          <w:szCs w:val="22"/>
          <w:lang w:val="fr-CH" w:eastAsia="de-CH"/>
        </w:rPr>
        <w:t xml:space="preserve">, pour une raison quelconque, du mobilier devait être entreposé ailleurs </w:t>
      </w:r>
      <w:r w:rsidR="00CA78E0">
        <w:rPr>
          <w:rFonts w:ascii="Arial" w:hAnsi="Arial" w:cs="Arial"/>
          <w:sz w:val="22"/>
          <w:szCs w:val="22"/>
          <w:lang w:val="fr-CH" w:eastAsia="de-CH"/>
        </w:rPr>
        <w:t>lors de</w:t>
      </w:r>
      <w:r w:rsidRPr="00CA78E0">
        <w:rPr>
          <w:rFonts w:ascii="Arial" w:hAnsi="Arial" w:cs="Arial"/>
          <w:sz w:val="22"/>
          <w:szCs w:val="22"/>
          <w:lang w:val="fr-CH" w:eastAsia="de-CH"/>
        </w:rPr>
        <w:t xml:space="preserve"> </w:t>
      </w:r>
      <w:r w:rsidR="00CA78E0">
        <w:rPr>
          <w:rFonts w:ascii="Arial" w:hAnsi="Arial" w:cs="Arial"/>
          <w:sz w:val="22"/>
          <w:szCs w:val="22"/>
          <w:lang w:val="fr-CH" w:eastAsia="de-CH"/>
        </w:rPr>
        <w:t>la</w:t>
      </w:r>
      <w:r w:rsidRPr="00CA78E0">
        <w:rPr>
          <w:rFonts w:ascii="Arial" w:hAnsi="Arial" w:cs="Arial"/>
          <w:sz w:val="22"/>
          <w:szCs w:val="22"/>
          <w:lang w:val="fr-CH" w:eastAsia="de-CH"/>
        </w:rPr>
        <w:t xml:space="preserve"> liquidation du logement, il y aura</w:t>
      </w:r>
      <w:r w:rsidR="00CA78E0">
        <w:rPr>
          <w:rFonts w:ascii="Arial" w:hAnsi="Arial" w:cs="Arial"/>
          <w:sz w:val="22"/>
          <w:szCs w:val="22"/>
          <w:lang w:val="fr-CH" w:eastAsia="de-CH"/>
        </w:rPr>
        <w:t>it</w:t>
      </w:r>
      <w:r w:rsidRPr="00CA78E0">
        <w:rPr>
          <w:rFonts w:ascii="Arial" w:hAnsi="Arial" w:cs="Arial"/>
          <w:sz w:val="22"/>
          <w:szCs w:val="22"/>
          <w:lang w:val="fr-CH" w:eastAsia="de-CH"/>
        </w:rPr>
        <w:t xml:space="preserve"> lieu d'examiner si le lieu d'entreposage est approprié (sécurité, risques de dégâts causés par exemple par la température, exposition pour une vente éventuelle) et de comparer les coûts de l'entreposage avec ceux du loyer. Il peut résulter de cette comparaison que l’appartement devra encore être gardé. </w:t>
      </w:r>
      <w:r w:rsidR="004F0731" w:rsidRPr="00CA78E0">
        <w:rPr>
          <w:rFonts w:ascii="Arial" w:hAnsi="Arial" w:cs="Arial"/>
          <w:sz w:val="22"/>
          <w:szCs w:val="22"/>
          <w:lang w:val="fr-CH" w:eastAsia="de-CH"/>
        </w:rPr>
        <w:t>L</w:t>
      </w:r>
      <w:r w:rsidRPr="00CA78E0">
        <w:rPr>
          <w:rFonts w:ascii="Arial" w:hAnsi="Arial" w:cs="Arial"/>
          <w:sz w:val="22"/>
          <w:szCs w:val="22"/>
          <w:lang w:val="fr-CH" w:eastAsia="de-CH"/>
        </w:rPr>
        <w:t>es raisons émotionnelles de la personne concernée (p.ex. valeur affective de l’appartement et de</w:t>
      </w:r>
      <w:r w:rsidR="004F0731" w:rsidRPr="00CA78E0">
        <w:rPr>
          <w:rFonts w:ascii="Arial" w:hAnsi="Arial" w:cs="Arial"/>
          <w:sz w:val="22"/>
          <w:szCs w:val="22"/>
          <w:lang w:val="fr-CH" w:eastAsia="de-CH"/>
        </w:rPr>
        <w:t xml:space="preserve"> son mobilier) peuvent amener à ne pas liquider le ménage tout de suite, lorsque la situation financière de la personne permet d’attendre.</w:t>
      </w:r>
    </w:p>
    <w:p w:rsidR="008025BB" w:rsidRPr="00CA78E0" w:rsidRDefault="008025BB" w:rsidP="008025BB">
      <w:pPr>
        <w:tabs>
          <w:tab w:val="num" w:pos="0"/>
        </w:tabs>
        <w:ind w:left="426"/>
        <w:jc w:val="both"/>
        <w:rPr>
          <w:rFonts w:ascii="Arial" w:hAnsi="Arial" w:cs="Arial"/>
          <w:sz w:val="22"/>
          <w:szCs w:val="22"/>
          <w:lang w:val="fr-CH" w:eastAsia="de-CH"/>
        </w:rPr>
      </w:pP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4F0731" w:rsidP="00294C63">
      <w:pPr>
        <w:numPr>
          <w:ilvl w:val="0"/>
          <w:numId w:val="1"/>
        </w:numPr>
        <w:tabs>
          <w:tab w:val="num" w:pos="0"/>
        </w:tabs>
        <w:ind w:left="426" w:firstLine="0"/>
        <w:jc w:val="both"/>
        <w:rPr>
          <w:rFonts w:ascii="Arial" w:hAnsi="Arial" w:cs="Arial"/>
          <w:b/>
          <w:sz w:val="22"/>
          <w:szCs w:val="22"/>
          <w:u w:val="single"/>
          <w:lang w:val="fr-CH" w:eastAsia="de-CH"/>
        </w:rPr>
      </w:pPr>
      <w:r w:rsidRPr="00CA78E0">
        <w:rPr>
          <w:rFonts w:ascii="Arial" w:hAnsi="Arial" w:cs="Arial"/>
          <w:b/>
          <w:sz w:val="22"/>
          <w:szCs w:val="22"/>
          <w:u w:val="single"/>
          <w:lang w:val="fr-CH" w:eastAsia="de-CH"/>
        </w:rPr>
        <w:t xml:space="preserve">Points à prendre en considération </w:t>
      </w:r>
      <w:r w:rsidR="00CA78E0" w:rsidRPr="00CA78E0">
        <w:rPr>
          <w:rFonts w:ascii="Arial" w:hAnsi="Arial" w:cs="Arial"/>
          <w:b/>
          <w:sz w:val="22"/>
          <w:szCs w:val="22"/>
          <w:u w:val="single"/>
          <w:lang w:val="fr-CH" w:eastAsia="de-CH"/>
        </w:rPr>
        <w:t>lors de</w:t>
      </w:r>
      <w:r w:rsidR="00F6177D">
        <w:rPr>
          <w:rFonts w:ascii="Arial" w:hAnsi="Arial" w:cs="Arial"/>
          <w:b/>
          <w:sz w:val="22"/>
          <w:szCs w:val="22"/>
          <w:u w:val="single"/>
          <w:lang w:val="fr-CH" w:eastAsia="de-CH"/>
        </w:rPr>
        <w:t xml:space="preserve"> la liquidation de l’</w:t>
      </w:r>
      <w:r w:rsidRPr="00CA78E0">
        <w:rPr>
          <w:rFonts w:ascii="Arial" w:hAnsi="Arial" w:cs="Arial"/>
          <w:b/>
          <w:sz w:val="22"/>
          <w:szCs w:val="22"/>
          <w:u w:val="single"/>
          <w:lang w:val="fr-CH" w:eastAsia="de-CH"/>
        </w:rPr>
        <w:t>appartement</w:t>
      </w:r>
    </w:p>
    <w:p w:rsidR="00760666" w:rsidRPr="00CA78E0" w:rsidRDefault="00760666" w:rsidP="00294C63">
      <w:pPr>
        <w:tabs>
          <w:tab w:val="num" w:pos="0"/>
        </w:tabs>
        <w:ind w:left="426"/>
        <w:jc w:val="both"/>
        <w:rPr>
          <w:rFonts w:ascii="Arial" w:hAnsi="Arial" w:cs="Arial"/>
          <w:sz w:val="22"/>
          <w:szCs w:val="22"/>
          <w:lang w:val="fr-CH" w:eastAsia="de-CH"/>
        </w:rPr>
      </w:pPr>
    </w:p>
    <w:p w:rsidR="00F11403" w:rsidRPr="00CA78E0" w:rsidRDefault="004F0731" w:rsidP="00294C63">
      <w:pPr>
        <w:numPr>
          <w:ilvl w:val="0"/>
          <w:numId w:val="2"/>
        </w:numPr>
        <w:tabs>
          <w:tab w:val="num" w:pos="0"/>
        </w:tabs>
        <w:spacing w:after="120"/>
        <w:ind w:left="426" w:firstLine="0"/>
        <w:jc w:val="both"/>
        <w:rPr>
          <w:rFonts w:ascii="Arial" w:hAnsi="Arial" w:cs="Arial"/>
          <w:sz w:val="22"/>
          <w:szCs w:val="22"/>
          <w:u w:val="single"/>
          <w:lang w:val="fr-CH" w:eastAsia="de-CH"/>
        </w:rPr>
      </w:pPr>
      <w:r w:rsidRPr="00CA78E0">
        <w:rPr>
          <w:rFonts w:ascii="Arial" w:hAnsi="Arial" w:cs="Arial"/>
          <w:sz w:val="22"/>
          <w:szCs w:val="22"/>
          <w:u w:val="single"/>
          <w:lang w:val="fr-CH" w:eastAsia="de-CH"/>
        </w:rPr>
        <w:t>Mandat</w:t>
      </w:r>
    </w:p>
    <w:p w:rsidR="004F0731" w:rsidRPr="00CA78E0" w:rsidRDefault="004F0731" w:rsidP="00294C63">
      <w:pPr>
        <w:spacing w:after="120"/>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Lorsqu’en </w:t>
      </w:r>
      <w:r w:rsidR="00F6177D">
        <w:rPr>
          <w:rFonts w:ascii="Arial" w:hAnsi="Arial" w:cs="Arial"/>
          <w:sz w:val="22"/>
          <w:szCs w:val="22"/>
          <w:lang w:val="fr-CH" w:eastAsia="de-CH"/>
        </w:rPr>
        <w:t>tant</w:t>
      </w:r>
      <w:r w:rsidRPr="00CA78E0">
        <w:rPr>
          <w:rFonts w:ascii="Arial" w:hAnsi="Arial" w:cs="Arial"/>
          <w:sz w:val="22"/>
          <w:szCs w:val="22"/>
          <w:lang w:val="fr-CH" w:eastAsia="de-CH"/>
        </w:rPr>
        <w:t xml:space="preserve"> que curatrice vous désirez liquider le ménage de la personne dont vous vous occupez, vous ne pouvez le faire que sur la base d’un mandat correspondant de l’APEA (cf. décision d’instauration, curatelle de représentation avec le cercle de tâches « logement »). </w:t>
      </w:r>
      <w:r w:rsidRPr="00CA78E0">
        <w:rPr>
          <w:rFonts w:ascii="Arial" w:hAnsi="Arial" w:cs="Arial"/>
          <w:sz w:val="22"/>
          <w:szCs w:val="22"/>
          <w:lang w:val="fr-CH" w:eastAsia="de-CH"/>
        </w:rPr>
        <w:br/>
      </w:r>
    </w:p>
    <w:p w:rsidR="00760666" w:rsidRPr="00CA78E0" w:rsidRDefault="004F0731" w:rsidP="00294C63">
      <w:pPr>
        <w:numPr>
          <w:ilvl w:val="0"/>
          <w:numId w:val="2"/>
        </w:numPr>
        <w:tabs>
          <w:tab w:val="num" w:pos="0"/>
        </w:tabs>
        <w:spacing w:after="120"/>
        <w:ind w:left="426" w:firstLine="0"/>
        <w:jc w:val="both"/>
        <w:rPr>
          <w:rFonts w:ascii="Arial" w:hAnsi="Arial" w:cs="Arial"/>
          <w:sz w:val="22"/>
          <w:szCs w:val="22"/>
          <w:lang w:val="fr-CH" w:eastAsia="de-CH"/>
        </w:rPr>
      </w:pPr>
      <w:r w:rsidRPr="00CA78E0">
        <w:rPr>
          <w:rFonts w:ascii="Arial" w:hAnsi="Arial" w:cs="Arial"/>
          <w:sz w:val="22"/>
          <w:szCs w:val="22"/>
          <w:u w:val="single"/>
          <w:lang w:val="fr-CH" w:eastAsia="de-CH"/>
        </w:rPr>
        <w:t>Inventaire</w:t>
      </w:r>
    </w:p>
    <w:p w:rsidR="00760666" w:rsidRPr="00CA78E0" w:rsidRDefault="00C709F0"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Le curateur doit dresser un inventaire en présence d’une personne désignée par l’APEA (si cela n’a pas déjà été fait au début du mandat). </w:t>
      </w: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C709F0"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S’il s’agit d’un ménage dont le mobilier ne doit plus être utilisé </w:t>
      </w:r>
      <w:r w:rsidR="00F6177D">
        <w:rPr>
          <w:rFonts w:ascii="Arial" w:hAnsi="Arial" w:cs="Arial"/>
          <w:sz w:val="22"/>
          <w:szCs w:val="22"/>
          <w:lang w:val="fr-CH" w:eastAsia="de-CH"/>
        </w:rPr>
        <w:t>et</w:t>
      </w:r>
      <w:r w:rsidRPr="00CA78E0">
        <w:rPr>
          <w:rFonts w:ascii="Arial" w:hAnsi="Arial" w:cs="Arial"/>
          <w:sz w:val="22"/>
          <w:szCs w:val="22"/>
          <w:lang w:val="fr-CH" w:eastAsia="de-CH"/>
        </w:rPr>
        <w:t xml:space="preserve"> ne peut qu’être remis (gratuitement) à une brocante ou une institution d’utilité publique</w:t>
      </w:r>
      <w:r w:rsidR="00F6177D">
        <w:rPr>
          <w:rFonts w:ascii="Arial" w:hAnsi="Arial" w:cs="Arial"/>
          <w:sz w:val="22"/>
          <w:szCs w:val="22"/>
          <w:lang w:val="fr-CH" w:eastAsia="de-CH"/>
        </w:rPr>
        <w:t>,</w:t>
      </w:r>
      <w:r w:rsidRPr="00CA78E0">
        <w:rPr>
          <w:rFonts w:ascii="Arial" w:hAnsi="Arial" w:cs="Arial"/>
          <w:sz w:val="22"/>
          <w:szCs w:val="22"/>
          <w:lang w:val="fr-CH" w:eastAsia="de-CH"/>
        </w:rPr>
        <w:t xml:space="preserve"> </w:t>
      </w:r>
      <w:r w:rsidR="006F72E5">
        <w:rPr>
          <w:rFonts w:ascii="Arial" w:hAnsi="Arial" w:cs="Arial"/>
          <w:sz w:val="22"/>
          <w:szCs w:val="22"/>
          <w:lang w:val="fr-CH" w:eastAsia="de-CH"/>
        </w:rPr>
        <w:t>voire</w:t>
      </w:r>
      <w:r w:rsidRPr="00CA78E0">
        <w:rPr>
          <w:rFonts w:ascii="Arial" w:hAnsi="Arial" w:cs="Arial"/>
          <w:sz w:val="22"/>
          <w:szCs w:val="22"/>
          <w:lang w:val="fr-CH" w:eastAsia="de-CH"/>
        </w:rPr>
        <w:t xml:space="preserve"> jeté (ce qui génère des frais), il faut au moins se rendre dans le logement avec la personne désignée par l’APEA</w:t>
      </w:r>
      <w:r w:rsidR="00F6177D">
        <w:rPr>
          <w:rFonts w:ascii="Arial" w:hAnsi="Arial" w:cs="Arial"/>
          <w:sz w:val="22"/>
          <w:szCs w:val="22"/>
          <w:lang w:val="fr-CH" w:eastAsia="de-CH"/>
        </w:rPr>
        <w:t>,</w:t>
      </w:r>
      <w:r w:rsidRPr="00CA78E0">
        <w:rPr>
          <w:rFonts w:ascii="Arial" w:hAnsi="Arial" w:cs="Arial"/>
          <w:sz w:val="22"/>
          <w:szCs w:val="22"/>
          <w:lang w:val="fr-CH" w:eastAsia="de-CH"/>
        </w:rPr>
        <w:t xml:space="preserve"> </w:t>
      </w:r>
      <w:r w:rsidRPr="00CA78E0">
        <w:rPr>
          <w:rFonts w:ascii="Arial" w:hAnsi="Arial" w:cs="Arial"/>
          <w:sz w:val="22"/>
          <w:szCs w:val="22"/>
          <w:lang w:val="fr-CH" w:eastAsia="de-CH"/>
        </w:rPr>
        <w:lastRenderedPageBreak/>
        <w:t xml:space="preserve">afin </w:t>
      </w:r>
      <w:r w:rsidR="00D00F07" w:rsidRPr="00CA78E0">
        <w:rPr>
          <w:rFonts w:ascii="Arial" w:hAnsi="Arial" w:cs="Arial"/>
          <w:sz w:val="22"/>
          <w:szCs w:val="22"/>
          <w:lang w:val="fr-CH" w:eastAsia="de-CH"/>
        </w:rPr>
        <w:t xml:space="preserve">d’y </w:t>
      </w:r>
      <w:r w:rsidRPr="00CA78E0">
        <w:rPr>
          <w:rFonts w:ascii="Arial" w:hAnsi="Arial" w:cs="Arial"/>
          <w:sz w:val="22"/>
          <w:szCs w:val="22"/>
          <w:lang w:val="fr-CH" w:eastAsia="de-CH"/>
        </w:rPr>
        <w:t xml:space="preserve">chercher les documents importants et les éventuelles valeurs </w:t>
      </w:r>
      <w:r w:rsidR="00D00F07" w:rsidRPr="00CA78E0">
        <w:rPr>
          <w:rFonts w:ascii="Arial" w:hAnsi="Arial" w:cs="Arial"/>
          <w:sz w:val="22"/>
          <w:szCs w:val="22"/>
          <w:lang w:val="fr-CH" w:eastAsia="de-CH"/>
        </w:rPr>
        <w:t xml:space="preserve">qui pourraient encore s’y trouver </w:t>
      </w:r>
      <w:r w:rsidRPr="00CA78E0">
        <w:rPr>
          <w:rFonts w:ascii="Arial" w:hAnsi="Arial" w:cs="Arial"/>
          <w:sz w:val="22"/>
          <w:szCs w:val="22"/>
          <w:lang w:val="fr-CH" w:eastAsia="de-CH"/>
        </w:rPr>
        <w:t xml:space="preserve">et consigner les constatations faites dans un document écrit et signé. </w:t>
      </w:r>
    </w:p>
    <w:p w:rsidR="00760666" w:rsidRPr="00CA78E0" w:rsidRDefault="00936525"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br/>
      </w:r>
    </w:p>
    <w:p w:rsidR="00760666" w:rsidRPr="00CA78E0" w:rsidRDefault="00760666" w:rsidP="00294C63">
      <w:pPr>
        <w:numPr>
          <w:ilvl w:val="0"/>
          <w:numId w:val="2"/>
        </w:numPr>
        <w:tabs>
          <w:tab w:val="num" w:pos="0"/>
        </w:tabs>
        <w:spacing w:after="120"/>
        <w:ind w:left="426" w:firstLine="0"/>
        <w:jc w:val="both"/>
        <w:rPr>
          <w:rFonts w:ascii="Arial" w:hAnsi="Arial" w:cs="Arial"/>
          <w:sz w:val="22"/>
          <w:szCs w:val="22"/>
          <w:lang w:val="fr-CH" w:eastAsia="de-CH"/>
        </w:rPr>
      </w:pPr>
      <w:r w:rsidRPr="00CA78E0">
        <w:rPr>
          <w:rFonts w:ascii="Arial" w:hAnsi="Arial" w:cs="Arial"/>
          <w:sz w:val="22"/>
          <w:szCs w:val="22"/>
          <w:u w:val="single"/>
          <w:lang w:val="fr-CH" w:eastAsia="de-CH"/>
        </w:rPr>
        <w:t>Liquidation</w:t>
      </w:r>
      <w:r w:rsidRPr="00CA78E0">
        <w:rPr>
          <w:rFonts w:ascii="Arial" w:hAnsi="Arial" w:cs="Arial"/>
          <w:sz w:val="22"/>
          <w:szCs w:val="22"/>
          <w:lang w:val="fr-CH" w:eastAsia="de-CH"/>
        </w:rPr>
        <w:t xml:space="preserve"> </w:t>
      </w:r>
    </w:p>
    <w:p w:rsidR="00760666" w:rsidRPr="00CA78E0" w:rsidRDefault="00D00F07"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Si la personne concernée entre dans un foyer pour personnes âgées ou un home médicalisé, elle devrait, dans la mesure du possible, pouvoir y prendre des meubles, tapis, tableaux, etc. Une liste de ces objets sera dressée et signée par un représentant de l’institution. Les objets que la personne n’a pas pu prendre dans le home peuvent</w:t>
      </w:r>
      <w:r w:rsidR="00F6177D">
        <w:rPr>
          <w:rFonts w:ascii="Arial" w:hAnsi="Arial" w:cs="Arial"/>
          <w:sz w:val="22"/>
          <w:szCs w:val="22"/>
          <w:lang w:val="fr-CH" w:eastAsia="de-CH"/>
        </w:rPr>
        <w:t>,</w:t>
      </w:r>
      <w:r w:rsidRPr="00CA78E0">
        <w:rPr>
          <w:rFonts w:ascii="Arial" w:hAnsi="Arial" w:cs="Arial"/>
          <w:sz w:val="22"/>
          <w:szCs w:val="22"/>
          <w:lang w:val="fr-CH" w:eastAsia="de-CH"/>
        </w:rPr>
        <w:t xml:space="preserve"> </w:t>
      </w:r>
      <w:r w:rsidR="00627745" w:rsidRPr="00CA78E0">
        <w:rPr>
          <w:rFonts w:ascii="Arial" w:hAnsi="Arial" w:cs="Arial"/>
          <w:sz w:val="22"/>
          <w:szCs w:val="22"/>
          <w:lang w:val="fr-CH" w:eastAsia="de-CH"/>
        </w:rPr>
        <w:t>le cas échéant</w:t>
      </w:r>
      <w:r w:rsidR="00F6177D">
        <w:rPr>
          <w:rFonts w:ascii="Arial" w:hAnsi="Arial" w:cs="Arial"/>
          <w:sz w:val="22"/>
          <w:szCs w:val="22"/>
          <w:lang w:val="fr-CH" w:eastAsia="de-CH"/>
        </w:rPr>
        <w:t>,</w:t>
      </w:r>
      <w:r w:rsidR="00627745" w:rsidRPr="00CA78E0">
        <w:rPr>
          <w:rFonts w:ascii="Arial" w:hAnsi="Arial" w:cs="Arial"/>
          <w:sz w:val="22"/>
          <w:szCs w:val="22"/>
          <w:lang w:val="fr-CH" w:eastAsia="de-CH"/>
        </w:rPr>
        <w:t xml:space="preserve"> </w:t>
      </w:r>
      <w:r w:rsidRPr="00CA78E0">
        <w:rPr>
          <w:rFonts w:ascii="Arial" w:hAnsi="Arial" w:cs="Arial"/>
          <w:sz w:val="22"/>
          <w:szCs w:val="22"/>
          <w:lang w:val="fr-CH" w:eastAsia="de-CH"/>
        </w:rPr>
        <w:t xml:space="preserve">être remis en prêt </w:t>
      </w:r>
      <w:r w:rsidR="00627745" w:rsidRPr="00CA78E0">
        <w:rPr>
          <w:rFonts w:ascii="Arial" w:hAnsi="Arial" w:cs="Arial"/>
          <w:sz w:val="22"/>
          <w:szCs w:val="22"/>
          <w:lang w:val="fr-CH" w:eastAsia="de-CH"/>
        </w:rPr>
        <w:t xml:space="preserve">à </w:t>
      </w:r>
      <w:r w:rsidRPr="00CA78E0">
        <w:rPr>
          <w:rFonts w:ascii="Arial" w:hAnsi="Arial" w:cs="Arial"/>
          <w:sz w:val="22"/>
          <w:szCs w:val="22"/>
          <w:lang w:val="fr-CH" w:eastAsia="de-CH"/>
        </w:rPr>
        <w:t xml:space="preserve">usage </w:t>
      </w:r>
      <w:r w:rsidR="00627745" w:rsidRPr="00CA78E0">
        <w:rPr>
          <w:rFonts w:ascii="Arial" w:hAnsi="Arial" w:cs="Arial"/>
          <w:sz w:val="22"/>
          <w:szCs w:val="22"/>
          <w:lang w:val="fr-CH" w:eastAsia="de-CH"/>
        </w:rPr>
        <w:t xml:space="preserve">(art. 305 </w:t>
      </w:r>
      <w:proofErr w:type="spellStart"/>
      <w:r w:rsidR="00627745" w:rsidRPr="00CA78E0">
        <w:rPr>
          <w:rFonts w:ascii="Arial" w:hAnsi="Arial" w:cs="Arial"/>
          <w:sz w:val="22"/>
          <w:szCs w:val="22"/>
          <w:lang w:val="fr-CH" w:eastAsia="de-CH"/>
        </w:rPr>
        <w:t>ss</w:t>
      </w:r>
      <w:proofErr w:type="spellEnd"/>
      <w:r w:rsidR="00627745" w:rsidRPr="00CA78E0">
        <w:rPr>
          <w:rFonts w:ascii="Arial" w:hAnsi="Arial" w:cs="Arial"/>
          <w:sz w:val="22"/>
          <w:szCs w:val="22"/>
          <w:lang w:val="fr-CH" w:eastAsia="de-CH"/>
        </w:rPr>
        <w:t xml:space="preserve"> CO) </w:t>
      </w:r>
      <w:r w:rsidRPr="00CA78E0">
        <w:rPr>
          <w:rFonts w:ascii="Arial" w:hAnsi="Arial" w:cs="Arial"/>
          <w:sz w:val="22"/>
          <w:szCs w:val="22"/>
          <w:lang w:val="fr-CH" w:eastAsia="de-CH"/>
        </w:rPr>
        <w:t xml:space="preserve">à des parents ou des proches </w:t>
      </w:r>
      <w:r w:rsidR="00627745" w:rsidRPr="00CA78E0">
        <w:rPr>
          <w:rFonts w:ascii="Arial" w:hAnsi="Arial" w:cs="Arial"/>
          <w:sz w:val="22"/>
          <w:szCs w:val="22"/>
          <w:lang w:val="fr-CH" w:eastAsia="de-CH"/>
        </w:rPr>
        <w:t>manifesta</w:t>
      </w:r>
      <w:r w:rsidRPr="00CA78E0">
        <w:rPr>
          <w:rFonts w:ascii="Arial" w:hAnsi="Arial" w:cs="Arial"/>
          <w:sz w:val="22"/>
          <w:szCs w:val="22"/>
          <w:lang w:val="fr-CH" w:eastAsia="de-CH"/>
        </w:rPr>
        <w:t>nt de l’intérêt</w:t>
      </w:r>
      <w:r w:rsidR="00627745" w:rsidRPr="00CA78E0">
        <w:rPr>
          <w:rFonts w:ascii="Arial" w:hAnsi="Arial" w:cs="Arial"/>
          <w:sz w:val="22"/>
          <w:szCs w:val="22"/>
          <w:lang w:val="fr-CH" w:eastAsia="de-CH"/>
        </w:rPr>
        <w:t>. Le prêt à usage doit être lié à la condition que l’objet pr</w:t>
      </w:r>
      <w:r w:rsidR="00F2362A" w:rsidRPr="00CA78E0">
        <w:rPr>
          <w:rFonts w:ascii="Arial" w:hAnsi="Arial" w:cs="Arial"/>
          <w:sz w:val="22"/>
          <w:szCs w:val="22"/>
          <w:lang w:val="fr-CH" w:eastAsia="de-CH"/>
        </w:rPr>
        <w:t>êté</w:t>
      </w:r>
      <w:r w:rsidR="00627745" w:rsidRPr="00CA78E0">
        <w:rPr>
          <w:rFonts w:ascii="Arial" w:hAnsi="Arial" w:cs="Arial"/>
          <w:sz w:val="22"/>
          <w:szCs w:val="22"/>
          <w:lang w:val="fr-CH" w:eastAsia="de-CH"/>
        </w:rPr>
        <w:t xml:space="preserve"> devra être rendu à la première demande du prêteur, </w:t>
      </w:r>
      <w:proofErr w:type="spellStart"/>
      <w:r w:rsidR="00627745" w:rsidRPr="00CA78E0">
        <w:rPr>
          <w:rFonts w:ascii="Arial" w:hAnsi="Arial" w:cs="Arial"/>
          <w:sz w:val="22"/>
          <w:szCs w:val="22"/>
          <w:lang w:val="fr-CH" w:eastAsia="de-CH"/>
        </w:rPr>
        <w:t>resp</w:t>
      </w:r>
      <w:proofErr w:type="spellEnd"/>
      <w:r w:rsidR="00627745" w:rsidRPr="00CA78E0">
        <w:rPr>
          <w:rFonts w:ascii="Arial" w:hAnsi="Arial" w:cs="Arial"/>
          <w:sz w:val="22"/>
          <w:szCs w:val="22"/>
          <w:lang w:val="fr-CH" w:eastAsia="de-CH"/>
        </w:rPr>
        <w:t xml:space="preserve">. </w:t>
      </w:r>
      <w:proofErr w:type="gramStart"/>
      <w:r w:rsidR="00627745" w:rsidRPr="00CA78E0">
        <w:rPr>
          <w:rFonts w:ascii="Arial" w:hAnsi="Arial" w:cs="Arial"/>
          <w:sz w:val="22"/>
          <w:szCs w:val="22"/>
          <w:lang w:val="fr-CH" w:eastAsia="de-CH"/>
        </w:rPr>
        <w:t>de</w:t>
      </w:r>
      <w:proofErr w:type="gramEnd"/>
      <w:r w:rsidR="00627745" w:rsidRPr="00CA78E0">
        <w:rPr>
          <w:rFonts w:ascii="Arial" w:hAnsi="Arial" w:cs="Arial"/>
          <w:sz w:val="22"/>
          <w:szCs w:val="22"/>
          <w:lang w:val="fr-CH" w:eastAsia="de-CH"/>
        </w:rPr>
        <w:t xml:space="preserve"> son représentant</w:t>
      </w:r>
      <w:r w:rsidR="00F2362A" w:rsidRPr="00CA78E0">
        <w:rPr>
          <w:rFonts w:ascii="Arial" w:hAnsi="Arial" w:cs="Arial"/>
          <w:sz w:val="22"/>
          <w:szCs w:val="22"/>
          <w:lang w:val="fr-CH" w:eastAsia="de-CH"/>
        </w:rPr>
        <w:t>,</w:t>
      </w:r>
      <w:r w:rsidR="00627745" w:rsidRPr="00CA78E0">
        <w:rPr>
          <w:rFonts w:ascii="Arial" w:hAnsi="Arial" w:cs="Arial"/>
          <w:sz w:val="22"/>
          <w:szCs w:val="22"/>
          <w:lang w:val="fr-CH" w:eastAsia="de-CH"/>
        </w:rPr>
        <w:t xml:space="preserve"> ou de la personne qui lui succède. Il faut en outre que l’objet soit suffisamment assuré contre le vol et les dégâts de feu, etc., aux frais de l’emprunteur. Les contrats de prêt à usage doivent être documenté</w:t>
      </w:r>
      <w:r w:rsidR="00F2362A" w:rsidRPr="00CA78E0">
        <w:rPr>
          <w:rFonts w:ascii="Arial" w:hAnsi="Arial" w:cs="Arial"/>
          <w:sz w:val="22"/>
          <w:szCs w:val="22"/>
          <w:lang w:val="fr-CH" w:eastAsia="de-CH"/>
        </w:rPr>
        <w:t>s</w:t>
      </w:r>
      <w:r w:rsidR="00627745" w:rsidRPr="00CA78E0">
        <w:rPr>
          <w:rFonts w:ascii="Arial" w:hAnsi="Arial" w:cs="Arial"/>
          <w:sz w:val="22"/>
          <w:szCs w:val="22"/>
          <w:lang w:val="fr-CH" w:eastAsia="de-CH"/>
        </w:rPr>
        <w:t xml:space="preserve"> et les documents conservés de manière sûre au sens de l’art. 4 OGPCT </w:t>
      </w:r>
      <w:r w:rsidR="00F2362A" w:rsidRPr="00CA78E0">
        <w:rPr>
          <w:rFonts w:ascii="Arial" w:hAnsi="Arial" w:cs="Arial"/>
          <w:sz w:val="22"/>
          <w:szCs w:val="22"/>
          <w:lang w:val="fr-CH" w:eastAsia="de-CH"/>
        </w:rPr>
        <w:t>(Ordonnance sur la gestion du patrimoine dans le cadre d’une curatelle ou d’une tutelle, cf. annexe 9), le cas échéant auprès de l’APEA, selon les instructions de celle-ci.</w:t>
      </w: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F2362A"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La solution du « pr</w:t>
      </w:r>
      <w:r w:rsidR="00B82654" w:rsidRPr="00CA78E0">
        <w:rPr>
          <w:rFonts w:ascii="Arial" w:hAnsi="Arial" w:cs="Arial"/>
          <w:sz w:val="22"/>
          <w:szCs w:val="22"/>
          <w:lang w:val="fr-CH" w:eastAsia="de-CH"/>
        </w:rPr>
        <w:t xml:space="preserve">êt à </w:t>
      </w:r>
      <w:r w:rsidRPr="00CA78E0">
        <w:rPr>
          <w:rFonts w:ascii="Arial" w:hAnsi="Arial" w:cs="Arial"/>
          <w:sz w:val="22"/>
          <w:szCs w:val="22"/>
          <w:lang w:val="fr-CH" w:eastAsia="de-CH"/>
        </w:rPr>
        <w:t>usage » ne peut intervenir que si la personne représentée n’a pas besoin de l’argent que lui procurerait la vente de l’objet en question.</w:t>
      </w:r>
      <w:r w:rsidR="00760666" w:rsidRPr="00CA78E0">
        <w:rPr>
          <w:rFonts w:ascii="Arial" w:hAnsi="Arial" w:cs="Arial"/>
          <w:sz w:val="22"/>
          <w:szCs w:val="22"/>
          <w:lang w:val="fr-CH" w:eastAsia="de-CH"/>
        </w:rPr>
        <w:t xml:space="preserve"> </w:t>
      </w:r>
      <w:r w:rsidRPr="00CA78E0">
        <w:rPr>
          <w:rFonts w:ascii="Arial" w:hAnsi="Arial" w:cs="Arial"/>
          <w:sz w:val="22"/>
          <w:szCs w:val="22"/>
          <w:lang w:val="fr-CH" w:eastAsia="de-CH"/>
        </w:rPr>
        <w:t>Si elle en a besoin ou que personne parmi les parents ou proches n’est intéressé</w:t>
      </w:r>
      <w:r w:rsidR="00760666" w:rsidRPr="00CA78E0">
        <w:rPr>
          <w:rFonts w:ascii="Arial" w:hAnsi="Arial" w:cs="Arial"/>
          <w:sz w:val="22"/>
          <w:szCs w:val="22"/>
          <w:lang w:val="fr-CH" w:eastAsia="de-CH"/>
        </w:rPr>
        <w:t xml:space="preserve">, </w:t>
      </w:r>
      <w:r w:rsidRPr="00CA78E0">
        <w:rPr>
          <w:rFonts w:ascii="Arial" w:hAnsi="Arial" w:cs="Arial"/>
          <w:sz w:val="22"/>
          <w:szCs w:val="22"/>
          <w:lang w:val="fr-CH" w:eastAsia="de-CH"/>
        </w:rPr>
        <w:t>le mobilier doit être liquidé</w:t>
      </w:r>
      <w:r w:rsidR="00760666" w:rsidRPr="00CA78E0">
        <w:rPr>
          <w:rFonts w:ascii="Arial" w:hAnsi="Arial" w:cs="Arial"/>
          <w:sz w:val="22"/>
          <w:szCs w:val="22"/>
          <w:lang w:val="fr-CH" w:eastAsia="de-CH"/>
        </w:rPr>
        <w:t>.</w:t>
      </w:r>
    </w:p>
    <w:p w:rsidR="00760666" w:rsidRPr="00CA78E0" w:rsidRDefault="00936525"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br/>
      </w:r>
    </w:p>
    <w:p w:rsidR="00760666" w:rsidRPr="00CA78E0" w:rsidRDefault="00716F38" w:rsidP="00294C63">
      <w:pPr>
        <w:numPr>
          <w:ilvl w:val="0"/>
          <w:numId w:val="2"/>
        </w:numPr>
        <w:tabs>
          <w:tab w:val="num" w:pos="0"/>
        </w:tabs>
        <w:spacing w:after="120"/>
        <w:ind w:left="426" w:firstLine="0"/>
        <w:jc w:val="both"/>
        <w:rPr>
          <w:rFonts w:ascii="Arial" w:hAnsi="Arial" w:cs="Arial"/>
          <w:sz w:val="22"/>
          <w:szCs w:val="22"/>
          <w:lang w:val="fr-CH" w:eastAsia="de-CH"/>
        </w:rPr>
      </w:pPr>
      <w:r w:rsidRPr="00CA78E0">
        <w:rPr>
          <w:rFonts w:ascii="Arial" w:hAnsi="Arial" w:cs="Arial"/>
          <w:sz w:val="22"/>
          <w:szCs w:val="22"/>
          <w:u w:val="single"/>
          <w:lang w:val="fr-CH" w:eastAsia="de-CH"/>
        </w:rPr>
        <w:t>Vente et liquidation</w:t>
      </w:r>
    </w:p>
    <w:p w:rsidR="00B82654" w:rsidRPr="00CA78E0" w:rsidRDefault="00B82654" w:rsidP="00B82654">
      <w:pPr>
        <w:tabs>
          <w:tab w:val="num" w:pos="0"/>
        </w:tabs>
        <w:spacing w:after="120"/>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La vente ou la liquidation des meubles et des effets mobiliers peut se faire </w:t>
      </w:r>
    </w:p>
    <w:p w:rsidR="00B82654" w:rsidRPr="00CA78E0" w:rsidRDefault="00B86ED2" w:rsidP="00B86ED2">
      <w:pPr>
        <w:pStyle w:val="Listenabsatz"/>
        <w:numPr>
          <w:ilvl w:val="0"/>
          <w:numId w:val="9"/>
        </w:numPr>
        <w:tabs>
          <w:tab w:val="num" w:pos="0"/>
        </w:tabs>
        <w:spacing w:after="120"/>
        <w:jc w:val="both"/>
        <w:rPr>
          <w:rFonts w:ascii="Arial" w:hAnsi="Arial" w:cs="Arial"/>
          <w:sz w:val="22"/>
          <w:szCs w:val="22"/>
          <w:lang w:val="fr-CH" w:eastAsia="de-CH"/>
        </w:rPr>
      </w:pPr>
      <w:r w:rsidRPr="00CA78E0">
        <w:rPr>
          <w:rFonts w:ascii="Arial" w:hAnsi="Arial" w:cs="Arial"/>
          <w:sz w:val="22"/>
          <w:szCs w:val="22"/>
          <w:lang w:val="fr-CH" w:eastAsia="de-CH"/>
        </w:rPr>
        <w:t xml:space="preserve">par </w:t>
      </w:r>
      <w:r w:rsidR="00B82654" w:rsidRPr="00CA78E0">
        <w:rPr>
          <w:rFonts w:ascii="Arial" w:hAnsi="Arial" w:cs="Arial"/>
          <w:sz w:val="22"/>
          <w:szCs w:val="22"/>
          <w:lang w:val="fr-CH" w:eastAsia="de-CH"/>
        </w:rPr>
        <w:t>vente de gré à gré (par annonce ou directement)</w:t>
      </w:r>
      <w:r w:rsidRPr="00CA78E0">
        <w:rPr>
          <w:rFonts w:ascii="Arial" w:hAnsi="Arial" w:cs="Arial"/>
          <w:sz w:val="22"/>
          <w:szCs w:val="22"/>
          <w:lang w:val="fr-CH" w:eastAsia="de-CH"/>
        </w:rPr>
        <w:t>,</w:t>
      </w:r>
      <w:r w:rsidR="00B82654" w:rsidRPr="00CA78E0">
        <w:rPr>
          <w:rFonts w:ascii="Arial" w:hAnsi="Arial" w:cs="Arial"/>
          <w:sz w:val="22"/>
          <w:szCs w:val="22"/>
          <w:lang w:val="fr-CH" w:eastAsia="de-CH"/>
        </w:rPr>
        <w:t xml:space="preserve"> </w:t>
      </w:r>
    </w:p>
    <w:p w:rsidR="00B82654" w:rsidRPr="00CA78E0" w:rsidRDefault="00B86ED2" w:rsidP="00B86ED2">
      <w:pPr>
        <w:pStyle w:val="Listenabsatz"/>
        <w:numPr>
          <w:ilvl w:val="0"/>
          <w:numId w:val="9"/>
        </w:numPr>
        <w:tabs>
          <w:tab w:val="num" w:pos="0"/>
        </w:tabs>
        <w:spacing w:after="120"/>
        <w:jc w:val="both"/>
        <w:rPr>
          <w:rFonts w:ascii="Arial" w:hAnsi="Arial" w:cs="Arial"/>
          <w:sz w:val="22"/>
          <w:szCs w:val="22"/>
          <w:lang w:val="fr-CH" w:eastAsia="de-CH"/>
        </w:rPr>
      </w:pPr>
      <w:r w:rsidRPr="00CA78E0">
        <w:rPr>
          <w:rFonts w:ascii="Arial" w:hAnsi="Arial" w:cs="Arial"/>
          <w:sz w:val="22"/>
          <w:szCs w:val="22"/>
          <w:lang w:val="fr-CH" w:eastAsia="de-CH"/>
        </w:rPr>
        <w:t xml:space="preserve">par </w:t>
      </w:r>
      <w:r w:rsidR="00B82654" w:rsidRPr="00CA78E0">
        <w:rPr>
          <w:rFonts w:ascii="Arial" w:hAnsi="Arial" w:cs="Arial"/>
          <w:sz w:val="22"/>
          <w:szCs w:val="22"/>
          <w:lang w:val="fr-CH" w:eastAsia="de-CH"/>
        </w:rPr>
        <w:t xml:space="preserve">vente aux enchères publiques (par exemple avec d'autres objets dans le cadre de liquidations de successions, de faillites, etc.); la valeur doit toutefois être estimée préalablement par un expert (par exemple </w:t>
      </w:r>
      <w:r w:rsidR="00FA33E9">
        <w:rPr>
          <w:rFonts w:ascii="Arial" w:hAnsi="Arial" w:cs="Arial"/>
          <w:sz w:val="22"/>
          <w:szCs w:val="22"/>
          <w:lang w:val="fr-CH" w:eastAsia="de-CH"/>
        </w:rPr>
        <w:t xml:space="preserve">un </w:t>
      </w:r>
      <w:r w:rsidR="00B82654" w:rsidRPr="00CA78E0">
        <w:rPr>
          <w:rFonts w:ascii="Arial" w:hAnsi="Arial" w:cs="Arial"/>
          <w:sz w:val="22"/>
          <w:szCs w:val="22"/>
          <w:lang w:val="fr-CH" w:eastAsia="de-CH"/>
        </w:rPr>
        <w:t>marchand d'antiquités, notamment lorsqu'il s'agit de meubles de style, ou par un huiss</w:t>
      </w:r>
      <w:r w:rsidRPr="00CA78E0">
        <w:rPr>
          <w:rFonts w:ascii="Arial" w:hAnsi="Arial" w:cs="Arial"/>
          <w:sz w:val="22"/>
          <w:szCs w:val="22"/>
          <w:lang w:val="fr-CH" w:eastAsia="de-CH"/>
        </w:rPr>
        <w:t>ier de l’office des poursuites),</w:t>
      </w:r>
    </w:p>
    <w:p w:rsidR="00B82654" w:rsidRPr="00CA78E0" w:rsidRDefault="00B86ED2" w:rsidP="00B86ED2">
      <w:pPr>
        <w:pStyle w:val="Listenabsatz"/>
        <w:numPr>
          <w:ilvl w:val="0"/>
          <w:numId w:val="9"/>
        </w:numPr>
        <w:tabs>
          <w:tab w:val="num" w:pos="0"/>
        </w:tabs>
        <w:spacing w:after="120"/>
        <w:jc w:val="both"/>
        <w:rPr>
          <w:rFonts w:ascii="Arial" w:hAnsi="Arial" w:cs="Arial"/>
          <w:sz w:val="22"/>
          <w:szCs w:val="22"/>
          <w:lang w:val="fr-CH" w:eastAsia="de-CH"/>
        </w:rPr>
      </w:pPr>
      <w:r w:rsidRPr="00CA78E0">
        <w:rPr>
          <w:rFonts w:ascii="Arial" w:hAnsi="Arial" w:cs="Arial"/>
          <w:sz w:val="22"/>
          <w:szCs w:val="22"/>
          <w:lang w:val="fr-CH" w:eastAsia="de-CH"/>
        </w:rPr>
        <w:t xml:space="preserve">par la </w:t>
      </w:r>
      <w:r w:rsidR="00B82654" w:rsidRPr="00CA78E0">
        <w:rPr>
          <w:rFonts w:ascii="Arial" w:hAnsi="Arial" w:cs="Arial"/>
          <w:sz w:val="22"/>
          <w:szCs w:val="22"/>
          <w:lang w:val="fr-CH" w:eastAsia="de-CH"/>
        </w:rPr>
        <w:t xml:space="preserve">remise du mobilier ou d’une partie de celui-ci à une institution d'utilité publique (service social, brocante, </w:t>
      </w:r>
      <w:r w:rsidR="00FA33E9">
        <w:rPr>
          <w:rFonts w:ascii="Arial" w:hAnsi="Arial" w:cs="Arial"/>
          <w:sz w:val="22"/>
          <w:szCs w:val="22"/>
          <w:lang w:val="fr-CH" w:eastAsia="de-CH"/>
        </w:rPr>
        <w:t>etc</w:t>
      </w:r>
      <w:r w:rsidR="00B82654" w:rsidRPr="00CA78E0">
        <w:rPr>
          <w:rFonts w:ascii="Arial" w:hAnsi="Arial" w:cs="Arial"/>
          <w:sz w:val="22"/>
          <w:szCs w:val="22"/>
          <w:lang w:val="fr-CH" w:eastAsia="de-CH"/>
        </w:rPr>
        <w:t xml:space="preserve">.), qui souvent vient chercher les objets gratuitement </w:t>
      </w:r>
      <w:r w:rsidR="00FA33E9">
        <w:rPr>
          <w:rFonts w:ascii="Arial" w:hAnsi="Arial" w:cs="Arial"/>
          <w:sz w:val="22"/>
          <w:szCs w:val="22"/>
          <w:lang w:val="fr-CH" w:eastAsia="de-CH"/>
        </w:rPr>
        <w:t>et</w:t>
      </w:r>
      <w:r w:rsidR="00B82654" w:rsidRPr="00CA78E0">
        <w:rPr>
          <w:rFonts w:ascii="Arial" w:hAnsi="Arial" w:cs="Arial"/>
          <w:sz w:val="22"/>
          <w:szCs w:val="22"/>
          <w:lang w:val="fr-CH" w:eastAsia="de-CH"/>
        </w:rPr>
        <w:t xml:space="preserve"> débarrasse également le logement gratui</w:t>
      </w:r>
      <w:r w:rsidRPr="00CA78E0">
        <w:rPr>
          <w:rFonts w:ascii="Arial" w:hAnsi="Arial" w:cs="Arial"/>
          <w:sz w:val="22"/>
          <w:szCs w:val="22"/>
          <w:lang w:val="fr-CH" w:eastAsia="de-CH"/>
        </w:rPr>
        <w:t>tement ou à un prix avantageux,</w:t>
      </w:r>
    </w:p>
    <w:p w:rsidR="00B82654" w:rsidRPr="00CA78E0" w:rsidRDefault="00B86ED2" w:rsidP="00B86ED2">
      <w:pPr>
        <w:pStyle w:val="Listenabsatz"/>
        <w:numPr>
          <w:ilvl w:val="0"/>
          <w:numId w:val="9"/>
        </w:numPr>
        <w:tabs>
          <w:tab w:val="num" w:pos="0"/>
        </w:tabs>
        <w:spacing w:after="120"/>
        <w:jc w:val="both"/>
        <w:rPr>
          <w:rFonts w:ascii="Arial" w:hAnsi="Arial" w:cs="Arial"/>
          <w:sz w:val="22"/>
          <w:szCs w:val="22"/>
          <w:lang w:val="fr-CH" w:eastAsia="de-CH"/>
        </w:rPr>
      </w:pPr>
      <w:r w:rsidRPr="00CA78E0">
        <w:rPr>
          <w:rFonts w:ascii="Arial" w:hAnsi="Arial" w:cs="Arial"/>
          <w:sz w:val="22"/>
          <w:szCs w:val="22"/>
          <w:lang w:val="fr-CH" w:eastAsia="de-CH"/>
        </w:rPr>
        <w:t>en faisant</w:t>
      </w:r>
      <w:r w:rsidR="00B82654" w:rsidRPr="00CA78E0">
        <w:rPr>
          <w:rFonts w:ascii="Arial" w:hAnsi="Arial" w:cs="Arial"/>
          <w:sz w:val="22"/>
          <w:szCs w:val="22"/>
          <w:lang w:val="fr-CH" w:eastAsia="de-CH"/>
        </w:rPr>
        <w:t xml:space="preserve"> débarrasser le logement par une entreprise spécialisée (moyennant paiement et émoluments de la voirie)</w:t>
      </w:r>
      <w:r w:rsidRPr="00CA78E0">
        <w:rPr>
          <w:rFonts w:ascii="Arial" w:hAnsi="Arial" w:cs="Arial"/>
          <w:sz w:val="22"/>
          <w:szCs w:val="22"/>
          <w:lang w:val="fr-CH" w:eastAsia="de-CH"/>
        </w:rPr>
        <w:t>.</w:t>
      </w:r>
    </w:p>
    <w:p w:rsidR="00760666" w:rsidRPr="00CA78E0" w:rsidRDefault="00680E23" w:rsidP="00294C63">
      <w:pPr>
        <w:tabs>
          <w:tab w:val="num" w:pos="0"/>
        </w:tabs>
        <w:spacing w:after="120"/>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Dans la mesure du possible, les proches parents seront informés de la liquidation du ménage afin que des objets sans grande valeur de liquidation mais ayant valeur de souvenir pour la famille puissent être mis à part et exclus de la liquidation </w:t>
      </w:r>
      <w:r w:rsidR="00760666" w:rsidRPr="00CA78E0">
        <w:rPr>
          <w:rFonts w:ascii="Arial" w:hAnsi="Arial" w:cs="Arial"/>
          <w:sz w:val="22"/>
          <w:szCs w:val="22"/>
          <w:lang w:val="fr-CH" w:eastAsia="de-CH"/>
        </w:rPr>
        <w:t>(</w:t>
      </w:r>
      <w:r w:rsidRPr="00CA78E0">
        <w:rPr>
          <w:rFonts w:ascii="Arial" w:hAnsi="Arial" w:cs="Arial"/>
          <w:sz w:val="22"/>
          <w:szCs w:val="22"/>
          <w:lang w:val="fr-CH" w:eastAsia="de-CH"/>
        </w:rPr>
        <w:t>v. aussi ci-dessus – remise en prêt à usage)</w:t>
      </w:r>
      <w:r w:rsidR="00760666" w:rsidRPr="00CA78E0">
        <w:rPr>
          <w:rFonts w:ascii="Arial" w:hAnsi="Arial" w:cs="Arial"/>
          <w:sz w:val="22"/>
          <w:szCs w:val="22"/>
          <w:lang w:val="fr-CH" w:eastAsia="de-CH"/>
        </w:rPr>
        <w:t xml:space="preserve">. </w:t>
      </w:r>
      <w:r w:rsidR="00D030EA" w:rsidRPr="00CA78E0">
        <w:rPr>
          <w:rFonts w:ascii="Arial" w:hAnsi="Arial" w:cs="Arial"/>
          <w:sz w:val="22"/>
          <w:szCs w:val="22"/>
          <w:lang w:val="fr-CH" w:eastAsia="de-CH"/>
        </w:rPr>
        <w:t>Le</w:t>
      </w:r>
      <w:r w:rsidRPr="00CA78E0">
        <w:rPr>
          <w:rFonts w:ascii="Arial" w:hAnsi="Arial" w:cs="Arial"/>
          <w:sz w:val="22"/>
          <w:szCs w:val="22"/>
          <w:lang w:val="fr-CH" w:eastAsia="de-CH"/>
        </w:rPr>
        <w:t xml:space="preserve"> temps </w:t>
      </w:r>
      <w:r w:rsidR="00D030EA" w:rsidRPr="00CA78E0">
        <w:rPr>
          <w:rFonts w:ascii="Arial" w:hAnsi="Arial" w:cs="Arial"/>
          <w:sz w:val="22"/>
          <w:szCs w:val="22"/>
          <w:lang w:val="fr-CH" w:eastAsia="de-CH"/>
        </w:rPr>
        <w:t xml:space="preserve">consacré à </w:t>
      </w:r>
      <w:r w:rsidR="00DD3FCB">
        <w:rPr>
          <w:rFonts w:ascii="Arial" w:hAnsi="Arial" w:cs="Arial"/>
          <w:sz w:val="22"/>
          <w:szCs w:val="22"/>
          <w:lang w:val="fr-CH" w:eastAsia="de-CH"/>
        </w:rPr>
        <w:t>associer</w:t>
      </w:r>
      <w:r w:rsidRPr="00CA78E0">
        <w:rPr>
          <w:rFonts w:ascii="Arial" w:hAnsi="Arial" w:cs="Arial"/>
          <w:sz w:val="22"/>
          <w:szCs w:val="22"/>
          <w:lang w:val="fr-CH" w:eastAsia="de-CH"/>
        </w:rPr>
        <w:t xml:space="preserve"> des proches doit </w:t>
      </w:r>
      <w:r w:rsidR="00D030EA" w:rsidRPr="00CA78E0">
        <w:rPr>
          <w:rFonts w:ascii="Arial" w:hAnsi="Arial" w:cs="Arial"/>
          <w:sz w:val="22"/>
          <w:szCs w:val="22"/>
          <w:lang w:val="fr-CH" w:eastAsia="de-CH"/>
        </w:rPr>
        <w:t xml:space="preserve">néanmoins </w:t>
      </w:r>
      <w:r w:rsidRPr="00CA78E0">
        <w:rPr>
          <w:rFonts w:ascii="Arial" w:hAnsi="Arial" w:cs="Arial"/>
          <w:sz w:val="22"/>
          <w:szCs w:val="22"/>
          <w:lang w:val="fr-CH" w:eastAsia="de-CH"/>
        </w:rPr>
        <w:t xml:space="preserve">demeurer dans des proportions acceptables. </w:t>
      </w:r>
      <w:r w:rsidR="00D030EA" w:rsidRPr="00CA78E0">
        <w:rPr>
          <w:rFonts w:ascii="Arial" w:hAnsi="Arial" w:cs="Arial"/>
          <w:sz w:val="22"/>
          <w:szCs w:val="22"/>
          <w:lang w:val="fr-CH" w:eastAsia="de-CH"/>
        </w:rPr>
        <w:t>Ainsi, i</w:t>
      </w:r>
      <w:r w:rsidRPr="00CA78E0">
        <w:rPr>
          <w:rFonts w:ascii="Arial" w:hAnsi="Arial" w:cs="Arial"/>
          <w:sz w:val="22"/>
          <w:szCs w:val="22"/>
          <w:lang w:val="fr-CH" w:eastAsia="de-CH"/>
        </w:rPr>
        <w:t xml:space="preserve">l n’y aura </w:t>
      </w:r>
      <w:r w:rsidR="00D030EA" w:rsidRPr="00CA78E0">
        <w:rPr>
          <w:rFonts w:ascii="Arial" w:hAnsi="Arial" w:cs="Arial"/>
          <w:sz w:val="22"/>
          <w:szCs w:val="22"/>
          <w:lang w:val="fr-CH" w:eastAsia="de-CH"/>
        </w:rPr>
        <w:t xml:space="preserve">pas lieu d’avoir des égards particuliers pour </w:t>
      </w:r>
      <w:r w:rsidRPr="00CA78E0">
        <w:rPr>
          <w:rFonts w:ascii="Arial" w:hAnsi="Arial" w:cs="Arial"/>
          <w:sz w:val="22"/>
          <w:szCs w:val="22"/>
          <w:lang w:val="fr-CH" w:eastAsia="de-CH"/>
        </w:rPr>
        <w:t xml:space="preserve">la parenté qui </w:t>
      </w:r>
      <w:r w:rsidR="00D030EA" w:rsidRPr="00CA78E0">
        <w:rPr>
          <w:rFonts w:ascii="Arial" w:hAnsi="Arial" w:cs="Arial"/>
          <w:sz w:val="22"/>
          <w:szCs w:val="22"/>
          <w:lang w:val="fr-CH" w:eastAsia="de-CH"/>
        </w:rPr>
        <w:t>pendant de nombreuses années ne s’es</w:t>
      </w:r>
      <w:r w:rsidR="00FA33E9">
        <w:rPr>
          <w:rFonts w:ascii="Arial" w:hAnsi="Arial" w:cs="Arial"/>
          <w:sz w:val="22"/>
          <w:szCs w:val="22"/>
          <w:lang w:val="fr-CH" w:eastAsia="de-CH"/>
        </w:rPr>
        <w:t>t pas préoccupée du parent âgé.</w:t>
      </w:r>
    </w:p>
    <w:p w:rsidR="00760666" w:rsidRPr="00CA78E0" w:rsidRDefault="00760666" w:rsidP="00294C63">
      <w:pPr>
        <w:tabs>
          <w:tab w:val="num" w:pos="0"/>
        </w:tabs>
        <w:ind w:left="426"/>
        <w:jc w:val="both"/>
        <w:rPr>
          <w:rFonts w:ascii="Arial" w:hAnsi="Arial" w:cs="Arial"/>
          <w:sz w:val="22"/>
          <w:szCs w:val="22"/>
          <w:u w:val="single"/>
          <w:lang w:val="fr-CH" w:eastAsia="de-CH"/>
        </w:rPr>
      </w:pPr>
    </w:p>
    <w:p w:rsidR="00936525" w:rsidRPr="00CA78E0" w:rsidRDefault="00936525" w:rsidP="00294C63">
      <w:pPr>
        <w:tabs>
          <w:tab w:val="num" w:pos="0"/>
        </w:tabs>
        <w:ind w:left="426"/>
        <w:jc w:val="both"/>
        <w:rPr>
          <w:rFonts w:ascii="Arial" w:hAnsi="Arial" w:cs="Arial"/>
          <w:sz w:val="22"/>
          <w:szCs w:val="22"/>
          <w:u w:val="single"/>
          <w:lang w:val="fr-CH" w:eastAsia="de-CH"/>
        </w:rPr>
      </w:pPr>
    </w:p>
    <w:p w:rsidR="00760666" w:rsidRPr="00CA78E0" w:rsidRDefault="00D030EA" w:rsidP="00294C63">
      <w:pPr>
        <w:numPr>
          <w:ilvl w:val="0"/>
          <w:numId w:val="2"/>
        </w:numPr>
        <w:tabs>
          <w:tab w:val="num" w:pos="0"/>
        </w:tabs>
        <w:spacing w:after="120"/>
        <w:ind w:left="426" w:firstLine="0"/>
        <w:jc w:val="both"/>
        <w:rPr>
          <w:rFonts w:ascii="Arial" w:hAnsi="Arial" w:cs="Arial"/>
          <w:sz w:val="22"/>
          <w:szCs w:val="22"/>
          <w:lang w:val="fr-CH" w:eastAsia="de-CH"/>
        </w:rPr>
      </w:pPr>
      <w:r w:rsidRPr="00CA78E0">
        <w:rPr>
          <w:rFonts w:ascii="Arial" w:hAnsi="Arial" w:cs="Arial"/>
          <w:sz w:val="22"/>
          <w:szCs w:val="22"/>
          <w:u w:val="single"/>
          <w:lang w:val="fr-CH" w:eastAsia="de-CH"/>
        </w:rPr>
        <w:t>Marche à suivre en cas de testament</w:t>
      </w:r>
      <w:r w:rsidR="00760666" w:rsidRPr="00CA78E0">
        <w:rPr>
          <w:rFonts w:ascii="Arial" w:hAnsi="Arial" w:cs="Arial"/>
          <w:sz w:val="22"/>
          <w:szCs w:val="22"/>
          <w:lang w:val="fr-CH" w:eastAsia="de-CH"/>
        </w:rPr>
        <w:t xml:space="preserve"> </w:t>
      </w:r>
    </w:p>
    <w:p w:rsidR="00760666" w:rsidRPr="00CA78E0" w:rsidRDefault="00760666" w:rsidP="00294C63">
      <w:pPr>
        <w:tabs>
          <w:tab w:val="num" w:pos="0"/>
        </w:tabs>
        <w:spacing w:after="120"/>
        <w:ind w:left="426"/>
        <w:jc w:val="both"/>
        <w:rPr>
          <w:rFonts w:ascii="Arial" w:hAnsi="Arial" w:cs="Arial"/>
          <w:sz w:val="22"/>
          <w:szCs w:val="22"/>
          <w:lang w:val="fr-CH" w:eastAsia="de-CH"/>
        </w:rPr>
      </w:pPr>
      <w:r w:rsidRPr="00CA78E0">
        <w:rPr>
          <w:rFonts w:ascii="Arial" w:hAnsi="Arial" w:cs="Arial"/>
          <w:sz w:val="22"/>
          <w:szCs w:val="22"/>
          <w:lang w:val="fr-CH" w:eastAsia="de-CH"/>
        </w:rPr>
        <w:t>(</w:t>
      </w:r>
      <w:r w:rsidR="00D030EA" w:rsidRPr="00CA78E0">
        <w:rPr>
          <w:rFonts w:ascii="Arial" w:hAnsi="Arial" w:cs="Arial"/>
          <w:sz w:val="22"/>
          <w:szCs w:val="22"/>
          <w:lang w:val="fr-CH" w:eastAsia="de-CH"/>
        </w:rPr>
        <w:t>Dans tous les cas</w:t>
      </w:r>
      <w:r w:rsidR="006F72E5">
        <w:rPr>
          <w:rFonts w:ascii="Arial" w:hAnsi="Arial" w:cs="Arial"/>
          <w:sz w:val="22"/>
          <w:szCs w:val="22"/>
          <w:lang w:val="fr-CH" w:eastAsia="de-CH"/>
        </w:rPr>
        <w:t>,</w:t>
      </w:r>
      <w:r w:rsidR="00D030EA" w:rsidRPr="00CA78E0">
        <w:rPr>
          <w:rFonts w:ascii="Arial" w:hAnsi="Arial" w:cs="Arial"/>
          <w:sz w:val="22"/>
          <w:szCs w:val="22"/>
          <w:lang w:val="fr-CH" w:eastAsia="de-CH"/>
        </w:rPr>
        <w:t xml:space="preserve"> se renseigner pour savoir si un testament </w:t>
      </w:r>
      <w:r w:rsidR="009F3E59" w:rsidRPr="00CA78E0">
        <w:rPr>
          <w:rFonts w:ascii="Arial" w:hAnsi="Arial" w:cs="Arial"/>
          <w:sz w:val="22"/>
          <w:szCs w:val="22"/>
          <w:lang w:val="fr-CH" w:eastAsia="de-CH"/>
        </w:rPr>
        <w:t>a</w:t>
      </w:r>
      <w:r w:rsidR="00D030EA" w:rsidRPr="00CA78E0">
        <w:rPr>
          <w:rFonts w:ascii="Arial" w:hAnsi="Arial" w:cs="Arial"/>
          <w:sz w:val="22"/>
          <w:szCs w:val="22"/>
          <w:lang w:val="fr-CH" w:eastAsia="de-CH"/>
        </w:rPr>
        <w:t xml:space="preserve"> été déposé auprès de d’autorité compétente </w:t>
      </w:r>
      <w:r w:rsidR="009F3E59" w:rsidRPr="00CA78E0">
        <w:rPr>
          <w:rFonts w:ascii="Arial" w:hAnsi="Arial" w:cs="Arial"/>
          <w:sz w:val="22"/>
          <w:szCs w:val="22"/>
          <w:lang w:val="fr-CH" w:eastAsia="de-CH"/>
        </w:rPr>
        <w:t>[</w:t>
      </w:r>
      <w:r w:rsidR="00D030EA" w:rsidRPr="00CA78E0">
        <w:rPr>
          <w:rFonts w:ascii="Arial" w:hAnsi="Arial" w:cs="Arial"/>
          <w:sz w:val="22"/>
          <w:szCs w:val="22"/>
          <w:lang w:val="fr-CH" w:eastAsia="de-CH"/>
        </w:rPr>
        <w:t xml:space="preserve">art. 504 s. </w:t>
      </w:r>
      <w:r w:rsidR="009F3E59" w:rsidRPr="00CA78E0">
        <w:rPr>
          <w:rFonts w:ascii="Arial" w:hAnsi="Arial" w:cs="Arial"/>
          <w:sz w:val="22"/>
          <w:szCs w:val="22"/>
          <w:lang w:val="fr-CH" w:eastAsia="de-CH"/>
        </w:rPr>
        <w:t xml:space="preserve">CC]) </w:t>
      </w:r>
    </w:p>
    <w:p w:rsidR="00760666" w:rsidRPr="00CA78E0" w:rsidRDefault="009F3E59" w:rsidP="00936525">
      <w:pPr>
        <w:numPr>
          <w:ilvl w:val="0"/>
          <w:numId w:val="8"/>
        </w:numPr>
        <w:ind w:left="709" w:hanging="283"/>
        <w:jc w:val="both"/>
        <w:rPr>
          <w:rFonts w:ascii="Arial" w:hAnsi="Arial" w:cs="Arial"/>
          <w:sz w:val="22"/>
          <w:szCs w:val="22"/>
          <w:lang w:val="fr-CH" w:eastAsia="de-CH"/>
        </w:rPr>
      </w:pPr>
      <w:r w:rsidRPr="00CA78E0">
        <w:rPr>
          <w:rFonts w:ascii="Arial" w:hAnsi="Arial" w:cs="Arial"/>
          <w:sz w:val="22"/>
          <w:szCs w:val="22"/>
          <w:lang w:val="fr-CH" w:eastAsia="de-CH"/>
        </w:rPr>
        <w:t>Les testaments qui sont sous pli fermé ne peuvent pas être consultés.</w:t>
      </w:r>
    </w:p>
    <w:p w:rsidR="00760666" w:rsidRPr="00CA78E0" w:rsidRDefault="009F3E59" w:rsidP="00936525">
      <w:pPr>
        <w:numPr>
          <w:ilvl w:val="0"/>
          <w:numId w:val="8"/>
        </w:numPr>
        <w:ind w:left="709" w:hanging="283"/>
        <w:jc w:val="both"/>
        <w:rPr>
          <w:rFonts w:ascii="Arial" w:hAnsi="Arial" w:cs="Arial"/>
          <w:sz w:val="22"/>
          <w:szCs w:val="22"/>
          <w:lang w:val="fr-CH" w:eastAsia="de-CH"/>
        </w:rPr>
      </w:pPr>
      <w:r w:rsidRPr="00CA78E0">
        <w:rPr>
          <w:rFonts w:ascii="Arial" w:hAnsi="Arial" w:cs="Arial"/>
          <w:sz w:val="22"/>
          <w:szCs w:val="22"/>
          <w:lang w:val="fr-CH" w:eastAsia="de-CH"/>
        </w:rPr>
        <w:t>En général, les testaments doivent être conservés en un lieu sûr de manière à ce qu’ils puissent être trouvés au décès de la personne concernée.</w:t>
      </w:r>
    </w:p>
    <w:p w:rsidR="00760666" w:rsidRPr="00CA78E0" w:rsidRDefault="009F3E59" w:rsidP="009F3E59">
      <w:pPr>
        <w:numPr>
          <w:ilvl w:val="0"/>
          <w:numId w:val="8"/>
        </w:numPr>
        <w:ind w:left="709" w:hanging="283"/>
        <w:jc w:val="both"/>
        <w:rPr>
          <w:rFonts w:ascii="Arial" w:hAnsi="Arial" w:cs="Arial"/>
          <w:sz w:val="22"/>
          <w:szCs w:val="22"/>
          <w:lang w:val="fr-CH" w:eastAsia="de-CH"/>
        </w:rPr>
      </w:pPr>
      <w:r w:rsidRPr="00CA78E0">
        <w:rPr>
          <w:rFonts w:ascii="Arial" w:hAnsi="Arial" w:cs="Arial"/>
          <w:sz w:val="22"/>
          <w:szCs w:val="22"/>
          <w:lang w:val="fr-CH" w:eastAsia="de-CH"/>
        </w:rPr>
        <w:lastRenderedPageBreak/>
        <w:t xml:space="preserve">L’éventuelle prise en considération d’un testament qui n’est pas sous pli fermé doit être discutée de cas en cas avec l’APEA, car en principe un testament ne déploie ses effets qu’au décès de la personne. </w:t>
      </w:r>
    </w:p>
    <w:p w:rsidR="00760666" w:rsidRPr="00CA78E0" w:rsidRDefault="00366492" w:rsidP="00936525">
      <w:pPr>
        <w:numPr>
          <w:ilvl w:val="0"/>
          <w:numId w:val="8"/>
        </w:numPr>
        <w:ind w:left="709" w:hanging="283"/>
        <w:jc w:val="both"/>
        <w:rPr>
          <w:rFonts w:ascii="Arial" w:hAnsi="Arial" w:cs="Arial"/>
          <w:sz w:val="22"/>
          <w:szCs w:val="22"/>
          <w:lang w:val="fr-CH" w:eastAsia="de-CH"/>
        </w:rPr>
      </w:pPr>
      <w:r w:rsidRPr="00CA78E0">
        <w:rPr>
          <w:rFonts w:ascii="Arial" w:hAnsi="Arial" w:cs="Arial"/>
          <w:sz w:val="22"/>
          <w:szCs w:val="22"/>
          <w:lang w:val="fr-CH" w:eastAsia="de-CH"/>
        </w:rPr>
        <w:t>Selon la situation financière de la personne concernée, le testament, le cas échéant, ne peut pas être pris en considération ou que partiellement pour l’attribution d’objets à liquider.</w:t>
      </w:r>
    </w:p>
    <w:p w:rsidR="00760666" w:rsidRPr="00CA78E0" w:rsidRDefault="00760666" w:rsidP="00294C63">
      <w:pPr>
        <w:tabs>
          <w:tab w:val="num" w:pos="0"/>
        </w:tabs>
        <w:ind w:left="426"/>
        <w:jc w:val="both"/>
        <w:rPr>
          <w:rFonts w:ascii="Arial" w:hAnsi="Arial" w:cs="Arial"/>
          <w:sz w:val="22"/>
          <w:szCs w:val="22"/>
          <w:lang w:val="fr-CH" w:eastAsia="de-CH"/>
        </w:rPr>
      </w:pPr>
    </w:p>
    <w:p w:rsidR="00760666" w:rsidRPr="00CA78E0" w:rsidRDefault="00366492" w:rsidP="00294C63">
      <w:pPr>
        <w:tabs>
          <w:tab w:val="num" w:pos="0"/>
        </w:tabs>
        <w:ind w:left="426"/>
        <w:jc w:val="both"/>
        <w:rPr>
          <w:rFonts w:ascii="Arial" w:hAnsi="Arial" w:cs="Arial"/>
          <w:sz w:val="22"/>
          <w:szCs w:val="22"/>
          <w:lang w:val="fr-CH" w:eastAsia="de-CH"/>
        </w:rPr>
      </w:pPr>
      <w:r w:rsidRPr="00CA78E0">
        <w:rPr>
          <w:rFonts w:ascii="Arial" w:hAnsi="Arial" w:cs="Arial"/>
          <w:sz w:val="22"/>
          <w:szCs w:val="22"/>
          <w:lang w:val="fr-CH" w:eastAsia="de-CH"/>
        </w:rPr>
        <w:t xml:space="preserve">Si </w:t>
      </w:r>
      <w:r w:rsidR="00165553" w:rsidRPr="00CA78E0">
        <w:rPr>
          <w:rFonts w:ascii="Arial" w:hAnsi="Arial" w:cs="Arial"/>
          <w:sz w:val="22"/>
          <w:szCs w:val="22"/>
          <w:lang w:val="fr-CH" w:eastAsia="de-CH"/>
        </w:rPr>
        <w:t xml:space="preserve">la situation financière de la personne concernée n’exige pas que le mobilier, les </w:t>
      </w:r>
      <w:r w:rsidR="006F72E5">
        <w:rPr>
          <w:rFonts w:ascii="Arial" w:hAnsi="Arial" w:cs="Arial"/>
          <w:sz w:val="22"/>
          <w:szCs w:val="22"/>
          <w:lang w:val="fr-CH" w:eastAsia="de-CH"/>
        </w:rPr>
        <w:t>objets d’art, collections, etc.</w:t>
      </w:r>
      <w:r w:rsidRPr="00CA78E0">
        <w:rPr>
          <w:rFonts w:ascii="Arial" w:hAnsi="Arial" w:cs="Arial"/>
          <w:sz w:val="22"/>
          <w:szCs w:val="22"/>
          <w:lang w:val="fr-CH" w:eastAsia="de-CH"/>
        </w:rPr>
        <w:t xml:space="preserve"> </w:t>
      </w:r>
      <w:r w:rsidR="00165553" w:rsidRPr="00CA78E0">
        <w:rPr>
          <w:rFonts w:ascii="Arial" w:hAnsi="Arial" w:cs="Arial"/>
          <w:sz w:val="22"/>
          <w:szCs w:val="22"/>
          <w:lang w:val="fr-CH" w:eastAsia="de-CH"/>
        </w:rPr>
        <w:t xml:space="preserve">soient vendus, </w:t>
      </w:r>
      <w:r w:rsidRPr="00CA78E0">
        <w:rPr>
          <w:rFonts w:ascii="Arial" w:hAnsi="Arial" w:cs="Arial"/>
          <w:sz w:val="22"/>
          <w:szCs w:val="22"/>
          <w:lang w:val="fr-CH" w:eastAsia="de-CH"/>
        </w:rPr>
        <w:t xml:space="preserve">il est </w:t>
      </w:r>
      <w:r w:rsidR="00165553" w:rsidRPr="00CA78E0">
        <w:rPr>
          <w:rFonts w:ascii="Arial" w:hAnsi="Arial" w:cs="Arial"/>
          <w:sz w:val="22"/>
          <w:szCs w:val="22"/>
          <w:lang w:val="fr-CH" w:eastAsia="de-CH"/>
        </w:rPr>
        <w:t>conseillé</w:t>
      </w:r>
      <w:r w:rsidRPr="00CA78E0">
        <w:rPr>
          <w:rFonts w:ascii="Arial" w:hAnsi="Arial" w:cs="Arial"/>
          <w:sz w:val="22"/>
          <w:szCs w:val="22"/>
          <w:lang w:val="fr-CH" w:eastAsia="de-CH"/>
        </w:rPr>
        <w:t xml:space="preserve"> de conclure un contrat de prêt à usage avec la personne désignée</w:t>
      </w:r>
      <w:r w:rsidR="00165553" w:rsidRPr="00CA78E0">
        <w:rPr>
          <w:rFonts w:ascii="Arial" w:hAnsi="Arial" w:cs="Arial"/>
          <w:sz w:val="22"/>
          <w:szCs w:val="22"/>
          <w:lang w:val="fr-CH" w:eastAsia="de-CH"/>
        </w:rPr>
        <w:t xml:space="preserve"> dans le testament</w:t>
      </w:r>
      <w:r w:rsidRPr="00CA78E0">
        <w:rPr>
          <w:rFonts w:ascii="Arial" w:hAnsi="Arial" w:cs="Arial"/>
          <w:sz w:val="22"/>
          <w:szCs w:val="22"/>
          <w:lang w:val="fr-CH" w:eastAsia="de-CH"/>
        </w:rPr>
        <w:t xml:space="preserve">, qu’il s’agisse d’un héritier ou d’un légataire. </w:t>
      </w:r>
      <w:r w:rsidR="00165553" w:rsidRPr="00CA78E0">
        <w:rPr>
          <w:rFonts w:ascii="Arial" w:hAnsi="Arial" w:cs="Arial"/>
          <w:sz w:val="22"/>
          <w:szCs w:val="22"/>
          <w:lang w:val="fr-CH" w:eastAsia="de-CH"/>
        </w:rPr>
        <w:t xml:space="preserve">La condition est toutefois que la personne concernée puisse être trouvée sans trop </w:t>
      </w:r>
      <w:r w:rsidR="00DD3FCB">
        <w:rPr>
          <w:rFonts w:ascii="Arial" w:hAnsi="Arial" w:cs="Arial"/>
          <w:sz w:val="22"/>
          <w:szCs w:val="22"/>
          <w:lang w:val="fr-CH" w:eastAsia="de-CH"/>
        </w:rPr>
        <w:t>d’efforts</w:t>
      </w:r>
      <w:r w:rsidR="00165553" w:rsidRPr="00CA78E0">
        <w:rPr>
          <w:rFonts w:ascii="Arial" w:hAnsi="Arial" w:cs="Arial"/>
          <w:sz w:val="22"/>
          <w:szCs w:val="22"/>
          <w:lang w:val="fr-CH" w:eastAsia="de-CH"/>
        </w:rPr>
        <w:t xml:space="preserve">, qu’elle soit intéressée et offre la sécurité </w:t>
      </w:r>
      <w:r w:rsidR="00DD3FCB">
        <w:rPr>
          <w:rFonts w:ascii="Arial" w:hAnsi="Arial" w:cs="Arial"/>
          <w:sz w:val="22"/>
          <w:szCs w:val="22"/>
          <w:lang w:val="fr-CH" w:eastAsia="de-CH"/>
        </w:rPr>
        <w:t>requise</w:t>
      </w:r>
      <w:r w:rsidR="00165553" w:rsidRPr="00CA78E0">
        <w:rPr>
          <w:rFonts w:ascii="Arial" w:hAnsi="Arial" w:cs="Arial"/>
          <w:sz w:val="22"/>
          <w:szCs w:val="22"/>
          <w:lang w:val="fr-CH" w:eastAsia="de-CH"/>
        </w:rPr>
        <w:t>.</w:t>
      </w:r>
    </w:p>
    <w:p w:rsidR="00760666" w:rsidRPr="00CA78E0" w:rsidRDefault="00760666" w:rsidP="00294C63">
      <w:pPr>
        <w:tabs>
          <w:tab w:val="num" w:pos="0"/>
        </w:tabs>
        <w:ind w:left="426"/>
        <w:jc w:val="both"/>
        <w:rPr>
          <w:rFonts w:ascii="Arial" w:hAnsi="Arial" w:cs="Arial"/>
          <w:sz w:val="22"/>
          <w:szCs w:val="22"/>
          <w:lang w:val="fr-CH" w:eastAsia="de-CH"/>
        </w:rPr>
      </w:pPr>
    </w:p>
    <w:p w:rsidR="00936525" w:rsidRPr="00CA78E0" w:rsidRDefault="00936525" w:rsidP="00294C63">
      <w:pPr>
        <w:tabs>
          <w:tab w:val="num" w:pos="0"/>
        </w:tabs>
        <w:ind w:left="426"/>
        <w:jc w:val="both"/>
        <w:rPr>
          <w:rFonts w:ascii="Arial" w:hAnsi="Arial" w:cs="Arial"/>
          <w:sz w:val="22"/>
          <w:szCs w:val="22"/>
          <w:lang w:val="fr-CH" w:eastAsia="de-CH"/>
        </w:rPr>
      </w:pPr>
    </w:p>
    <w:p w:rsidR="00760666" w:rsidRPr="00CA78E0" w:rsidRDefault="00165553" w:rsidP="00294C63">
      <w:pPr>
        <w:numPr>
          <w:ilvl w:val="0"/>
          <w:numId w:val="2"/>
        </w:numPr>
        <w:tabs>
          <w:tab w:val="num" w:pos="0"/>
        </w:tabs>
        <w:spacing w:after="120"/>
        <w:ind w:left="426" w:firstLine="0"/>
        <w:jc w:val="both"/>
        <w:rPr>
          <w:rFonts w:ascii="Arial" w:hAnsi="Arial" w:cs="Arial"/>
          <w:sz w:val="22"/>
          <w:szCs w:val="22"/>
          <w:u w:val="single"/>
          <w:lang w:val="fr-CH" w:eastAsia="de-CH"/>
        </w:rPr>
      </w:pPr>
      <w:r w:rsidRPr="00CA78E0">
        <w:rPr>
          <w:rFonts w:ascii="Arial" w:hAnsi="Arial" w:cs="Arial"/>
          <w:sz w:val="22"/>
          <w:szCs w:val="22"/>
          <w:u w:val="single"/>
          <w:lang w:val="fr-CH" w:eastAsia="de-CH"/>
        </w:rPr>
        <w:t>Consentement de l’APEA en cas d’incapacité de discernement de la personne concernée</w:t>
      </w:r>
    </w:p>
    <w:p w:rsidR="00760666" w:rsidRPr="00CA78E0" w:rsidRDefault="00165553" w:rsidP="00294C63">
      <w:pPr>
        <w:pStyle w:val="Fliesstext"/>
        <w:tabs>
          <w:tab w:val="num" w:pos="0"/>
        </w:tabs>
        <w:spacing w:before="0" w:after="0"/>
        <w:ind w:left="426"/>
        <w:jc w:val="both"/>
        <w:rPr>
          <w:rFonts w:cs="Arial"/>
          <w:noProof/>
          <w:sz w:val="22"/>
          <w:szCs w:val="22"/>
          <w:lang w:val="fr-CH"/>
        </w:rPr>
      </w:pPr>
      <w:r w:rsidRPr="00CA78E0">
        <w:rPr>
          <w:rFonts w:cs="Arial"/>
          <w:sz w:val="22"/>
          <w:szCs w:val="22"/>
          <w:lang w:val="fr-CH" w:eastAsia="de-CH"/>
        </w:rPr>
        <w:t>Dans la demande qui doit être adressée à l’APEA selon l’art</w:t>
      </w:r>
      <w:r w:rsidR="00361F47" w:rsidRPr="00CA78E0">
        <w:rPr>
          <w:rFonts w:cs="Arial"/>
          <w:sz w:val="22"/>
          <w:szCs w:val="22"/>
          <w:lang w:val="fr-CH" w:eastAsia="de-CH"/>
        </w:rPr>
        <w:t>icle</w:t>
      </w:r>
      <w:r w:rsidRPr="00CA78E0">
        <w:rPr>
          <w:rFonts w:cs="Arial"/>
          <w:sz w:val="22"/>
          <w:szCs w:val="22"/>
          <w:lang w:val="fr-CH" w:eastAsia="de-CH"/>
        </w:rPr>
        <w:t xml:space="preserve"> </w:t>
      </w:r>
      <w:r w:rsidR="006F72E5">
        <w:rPr>
          <w:rFonts w:cs="Arial"/>
          <w:sz w:val="22"/>
          <w:szCs w:val="22"/>
          <w:lang w:val="fr-CH" w:eastAsia="de-CH"/>
        </w:rPr>
        <w:t>416, alinéa</w:t>
      </w:r>
      <w:r w:rsidRPr="00CA78E0">
        <w:rPr>
          <w:rFonts w:cs="Arial"/>
          <w:sz w:val="22"/>
          <w:szCs w:val="22"/>
          <w:lang w:val="fr-CH" w:eastAsia="de-CH"/>
        </w:rPr>
        <w:t xml:space="preserve"> 1</w:t>
      </w:r>
      <w:r w:rsidR="006F72E5">
        <w:rPr>
          <w:rFonts w:cs="Arial"/>
          <w:sz w:val="22"/>
          <w:szCs w:val="22"/>
          <w:lang w:val="fr-CH" w:eastAsia="de-CH"/>
        </w:rPr>
        <w:t>,</w:t>
      </w:r>
      <w:r w:rsidRPr="00CA78E0">
        <w:rPr>
          <w:rFonts w:cs="Arial"/>
          <w:sz w:val="22"/>
          <w:szCs w:val="22"/>
          <w:lang w:val="fr-CH" w:eastAsia="de-CH"/>
        </w:rPr>
        <w:t xml:space="preserve"> ch</w:t>
      </w:r>
      <w:r w:rsidR="00361F47" w:rsidRPr="00CA78E0">
        <w:rPr>
          <w:rFonts w:cs="Arial"/>
          <w:sz w:val="22"/>
          <w:szCs w:val="22"/>
          <w:lang w:val="fr-CH" w:eastAsia="de-CH"/>
        </w:rPr>
        <w:t xml:space="preserve">iffre 1 CC, les modalités prévues pour la liquidation du ménage, avec les éventuels contrats </w:t>
      </w:r>
      <w:r w:rsidR="006F72E5">
        <w:rPr>
          <w:rFonts w:cs="Arial"/>
          <w:sz w:val="22"/>
          <w:szCs w:val="22"/>
          <w:lang w:val="fr-CH" w:eastAsia="de-CH"/>
        </w:rPr>
        <w:t xml:space="preserve">de prêt </w:t>
      </w:r>
      <w:r w:rsidR="00361F47" w:rsidRPr="00CA78E0">
        <w:rPr>
          <w:rFonts w:cs="Arial"/>
          <w:sz w:val="22"/>
          <w:szCs w:val="22"/>
          <w:lang w:val="fr-CH" w:eastAsia="de-CH"/>
        </w:rPr>
        <w:t xml:space="preserve">à usage et la prise en considération de dispositions testamentaires, seront </w:t>
      </w:r>
      <w:r w:rsidR="006F72E5" w:rsidRPr="00CA78E0">
        <w:rPr>
          <w:rFonts w:cs="Arial"/>
          <w:sz w:val="22"/>
          <w:szCs w:val="22"/>
          <w:lang w:val="fr-CH" w:eastAsia="de-CH"/>
        </w:rPr>
        <w:t xml:space="preserve">présentées </w:t>
      </w:r>
      <w:r w:rsidR="006F72E5">
        <w:rPr>
          <w:rFonts w:cs="Arial"/>
          <w:sz w:val="22"/>
          <w:szCs w:val="22"/>
          <w:lang w:val="fr-CH" w:eastAsia="de-CH"/>
        </w:rPr>
        <w:t>autant que</w:t>
      </w:r>
      <w:r w:rsidR="00361F47" w:rsidRPr="00CA78E0">
        <w:rPr>
          <w:rFonts w:cs="Arial"/>
          <w:sz w:val="22"/>
          <w:szCs w:val="22"/>
          <w:lang w:val="fr-CH" w:eastAsia="de-CH"/>
        </w:rPr>
        <w:t xml:space="preserve"> possible.</w:t>
      </w:r>
    </w:p>
    <w:p w:rsidR="00760666" w:rsidRPr="00CA78E0" w:rsidRDefault="00760666" w:rsidP="00F42724">
      <w:pPr>
        <w:pStyle w:val="Fliesstext"/>
        <w:spacing w:before="0" w:after="0"/>
        <w:rPr>
          <w:noProof/>
          <w:sz w:val="22"/>
          <w:szCs w:val="22"/>
          <w:lang w:val="fr-CH"/>
        </w:rPr>
      </w:pPr>
    </w:p>
    <w:sectPr w:rsidR="00760666" w:rsidRPr="00CA78E0" w:rsidSect="00F54484">
      <w:headerReference w:type="default" r:id="rId8"/>
      <w:footerReference w:type="default" r:id="rId9"/>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B8" w:rsidRDefault="00CC46B8">
      <w:r>
        <w:separator/>
      </w:r>
    </w:p>
  </w:endnote>
  <w:endnote w:type="continuationSeparator" w:id="0">
    <w:p w:rsidR="00CC46B8" w:rsidRDefault="00CC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1D" w:rsidRPr="00680E23" w:rsidRDefault="00680E23"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680E23">
      <w:rPr>
        <w:b w:val="0"/>
        <w:color w:val="7F7F7F"/>
        <w:sz w:val="16"/>
        <w:szCs w:val="16"/>
        <w:lang w:val="fr-CH" w:eastAsia="de-CH"/>
      </w:rPr>
      <w:t>Manuel des mandataires privés C</w:t>
    </w:r>
    <w:r>
      <w:rPr>
        <w:b w:val="0"/>
        <w:color w:val="7F7F7F"/>
        <w:sz w:val="16"/>
        <w:szCs w:val="16"/>
        <w:lang w:val="fr-CH" w:eastAsia="de-CH"/>
      </w:rPr>
      <w:t>OPMA</w:t>
    </w:r>
    <w:r w:rsidR="00A83365" w:rsidRPr="00680E23">
      <w:rPr>
        <w:b w:val="0"/>
        <w:color w:val="7F7F7F"/>
        <w:sz w:val="16"/>
        <w:szCs w:val="16"/>
        <w:lang w:val="fr-CH" w:eastAsia="de-CH"/>
      </w:rPr>
      <w:tab/>
    </w:r>
    <w:r>
      <w:rPr>
        <w:b w:val="0"/>
        <w:color w:val="7F7F7F"/>
        <w:sz w:val="16"/>
        <w:szCs w:val="16"/>
        <w:lang w:val="fr-CH" w:eastAsia="de-CH"/>
      </w:rPr>
      <w:t>Annexe</w:t>
    </w:r>
    <w:r w:rsidR="00A83365" w:rsidRPr="00680E23">
      <w:rPr>
        <w:b w:val="0"/>
        <w:color w:val="7F7F7F"/>
        <w:sz w:val="16"/>
        <w:szCs w:val="16"/>
        <w:lang w:val="fr-CH" w:eastAsia="de-CH"/>
      </w:rPr>
      <w:t xml:space="preserve"> </w:t>
    </w:r>
    <w:r w:rsidR="00D33BE0" w:rsidRPr="00680E23">
      <w:rPr>
        <w:b w:val="0"/>
        <w:color w:val="7F7F7F"/>
        <w:sz w:val="16"/>
        <w:szCs w:val="16"/>
        <w:lang w:val="fr-CH" w:eastAsia="de-CH"/>
      </w:rPr>
      <w:t>14</w:t>
    </w:r>
    <w:r w:rsidR="00136C1D" w:rsidRPr="00680E23">
      <w:rPr>
        <w:b w:val="0"/>
        <w:color w:val="7F7F7F"/>
        <w:sz w:val="16"/>
        <w:szCs w:val="16"/>
        <w:lang w:val="fr-CH" w:eastAsia="de-CH"/>
      </w:rPr>
      <w:tab/>
    </w:r>
  </w:p>
  <w:p w:rsidR="00136C1D" w:rsidRPr="00680E23" w:rsidRDefault="00AD0C16"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680E23">
      <w:rPr>
        <w:b w:val="0"/>
        <w:color w:val="7F7F7F"/>
        <w:sz w:val="16"/>
        <w:szCs w:val="16"/>
        <w:lang w:val="fr-CH" w:eastAsia="de-CH"/>
      </w:rPr>
      <w:t>Version</w:t>
    </w:r>
    <w:r w:rsidR="00136C1D" w:rsidRPr="00680E23">
      <w:rPr>
        <w:b w:val="0"/>
        <w:color w:val="7F7F7F"/>
        <w:sz w:val="16"/>
        <w:szCs w:val="16"/>
        <w:lang w:val="fr-CH" w:eastAsia="de-CH"/>
      </w:rPr>
      <w:t xml:space="preserve"> </w:t>
    </w:r>
    <w:r w:rsidR="00680E23" w:rsidRPr="00680E23">
      <w:rPr>
        <w:b w:val="0"/>
        <w:color w:val="7F7F7F"/>
        <w:sz w:val="16"/>
        <w:szCs w:val="16"/>
        <w:lang w:val="fr-CH" w:eastAsia="de-CH"/>
      </w:rPr>
      <w:t>juillet</w:t>
    </w:r>
    <w:r w:rsidR="00136C1D" w:rsidRPr="00680E23">
      <w:rPr>
        <w:b w:val="0"/>
        <w:color w:val="7F7F7F"/>
        <w:sz w:val="16"/>
        <w:szCs w:val="16"/>
        <w:lang w:val="fr-CH" w:eastAsia="de-CH"/>
      </w:rPr>
      <w:t xml:space="preserve"> 2014</w:t>
    </w:r>
    <w:r w:rsidR="00A83365" w:rsidRPr="00680E23">
      <w:rPr>
        <w:b w:val="0"/>
        <w:color w:val="7F7F7F"/>
        <w:sz w:val="16"/>
        <w:szCs w:val="16"/>
        <w:lang w:val="fr-CH" w:eastAsia="de-CH"/>
      </w:rPr>
      <w:tab/>
    </w:r>
    <w:r w:rsidR="00680E23" w:rsidRPr="00680E23">
      <w:rPr>
        <w:b w:val="0"/>
        <w:color w:val="7F7F7F"/>
        <w:sz w:val="16"/>
        <w:szCs w:val="16"/>
        <w:lang w:val="fr-CH" w:eastAsia="de-CH"/>
      </w:rPr>
      <w:t>Notice liquidation du ménage</w:t>
    </w:r>
    <w:r w:rsidR="00136C1D" w:rsidRPr="00680E23">
      <w:rPr>
        <w:b w:val="0"/>
        <w:color w:val="7F7F7F"/>
        <w:sz w:val="16"/>
        <w:szCs w:val="16"/>
        <w:lang w:val="fr-CH" w:eastAsia="de-CH"/>
      </w:rPr>
      <w:tab/>
    </w:r>
  </w:p>
  <w:p w:rsidR="00A83365" w:rsidRPr="00680E23" w:rsidRDefault="00A83365"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p>
  <w:p w:rsidR="00136C1D" w:rsidRPr="00680E23" w:rsidRDefault="00136C1D" w:rsidP="00136C1D">
    <w:pPr>
      <w:ind w:left="-1418"/>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B8" w:rsidRDefault="00CC46B8">
      <w:r>
        <w:separator/>
      </w:r>
    </w:p>
  </w:footnote>
  <w:footnote w:type="continuationSeparator" w:id="0">
    <w:p w:rsidR="00CC46B8" w:rsidRDefault="00CC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D" w:rsidRDefault="00762277" w:rsidP="00250834">
    <w:pPr>
      <w:ind w:left="-1418"/>
    </w:pPr>
    <w:r>
      <w:rPr>
        <w:noProof/>
        <w:lang w:val="de-CH" w:eastAsia="de-CH"/>
      </w:rPr>
      <mc:AlternateContent>
        <mc:Choice Requires="wps">
          <w:drawing>
            <wp:anchor distT="0" distB="0" distL="114300" distR="114300" simplePos="0" relativeHeight="251657728" behindDoc="0" locked="0" layoutInCell="0" allowOverlap="1">
              <wp:simplePos x="0" y="0"/>
              <wp:positionH relativeFrom="page">
                <wp:posOffset>7150735</wp:posOffset>
              </wp:positionH>
              <wp:positionV relativeFrom="page">
                <wp:posOffset>5706745</wp:posOffset>
              </wp:positionV>
              <wp:extent cx="407035" cy="329565"/>
              <wp:effectExtent l="0" t="1270" r="0" b="254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753987">
                            <w:rPr>
                              <w:rFonts w:ascii="Arial" w:hAnsi="Arial" w:cs="Arial"/>
                              <w:noProof/>
                              <w:color w:val="7F7F7F"/>
                              <w:sz w:val="18"/>
                              <w:szCs w:val="18"/>
                            </w:rPr>
                            <w:t>3</w:t>
                          </w:r>
                          <w:r w:rsidRPr="00325936">
                            <w:rPr>
                              <w:rFonts w:ascii="Arial" w:hAnsi="Arial" w:cs="Arial"/>
                              <w:color w:val="7F7F7F"/>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6" style="position:absolute;left:0;text-align:left;margin-left:563.05pt;margin-top:449.35pt;width:32.05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" o:allowincell="f" stroked="f">
              <v:textbo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753987">
                      <w:rPr>
                        <w:rFonts w:ascii="Arial" w:hAnsi="Arial" w:cs="Arial"/>
                        <w:noProof/>
                        <w:color w:val="7F7F7F"/>
                        <w:sz w:val="18"/>
                        <w:szCs w:val="18"/>
                      </w:rPr>
                      <w:t>3</w:t>
                    </w:r>
                    <w:r w:rsidRPr="00325936">
                      <w:rPr>
                        <w:rFonts w:ascii="Arial" w:hAnsi="Arial" w:cs="Arial"/>
                        <w:color w:val="7F7F7F"/>
                        <w:sz w:val="18"/>
                        <w:szCs w:val="18"/>
                      </w:rPr>
                      <w:fldChar w:fldCharType="end"/>
                    </w:r>
                  </w:p>
                </w:txbxContent>
              </v:textbox>
              <w10:wrap anchorx="page" anchory="page"/>
            </v:rect>
          </w:pict>
        </mc:Fallback>
      </mc:AlternateContent>
    </w:r>
    <w:r>
      <w:rPr>
        <w:noProof/>
        <w:lang w:val="de-CH" w:eastAsia="de-CH"/>
      </w:rPr>
      <w:drawing>
        <wp:inline distT="0" distB="0" distL="0" distR="0">
          <wp:extent cx="7639050" cy="1181100"/>
          <wp:effectExtent l="0" t="0" r="0" b="0"/>
          <wp:docPr id="1" name="Image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343"/>
    <w:multiLevelType w:val="hybridMultilevel"/>
    <w:tmpl w:val="81B6B40A"/>
    <w:lvl w:ilvl="0" w:tplc="1C3222E2">
      <w:start w:val="1"/>
      <w:numFmt w:val="bullet"/>
      <w:lvlText w:val="-"/>
      <w:lvlJc w:val="left"/>
      <w:pPr>
        <w:ind w:left="1429" w:hanging="360"/>
      </w:pPr>
      <w:rPr>
        <w:rFonts w:ascii="Verdana" w:hAnsi="Verdana" w:cs="Arial" w:hint="default"/>
        <w:b w:val="0"/>
        <w:i w:val="0"/>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1">
    <w:nsid w:val="0E754B6E"/>
    <w:multiLevelType w:val="hybridMultilevel"/>
    <w:tmpl w:val="0CB4DAC4"/>
    <w:lvl w:ilvl="0" w:tplc="042ED08C">
      <w:start w:val="1"/>
      <w:numFmt w:val="bullet"/>
      <w:lvlText w:val=""/>
      <w:lvlJc w:val="left"/>
      <w:pPr>
        <w:ind w:left="1429" w:hanging="360"/>
      </w:pPr>
      <w:rPr>
        <w:rFonts w:ascii="Symbol" w:hAnsi="Symbol" w:hint="default"/>
        <w:b w:val="0"/>
        <w:i w:val="0"/>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2">
    <w:nsid w:val="1710061C"/>
    <w:multiLevelType w:val="singleLevel"/>
    <w:tmpl w:val="3E747C7E"/>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
    <w:nsid w:val="3C4906A3"/>
    <w:multiLevelType w:val="hybridMultilevel"/>
    <w:tmpl w:val="76D690F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nsid w:val="3CD616AD"/>
    <w:multiLevelType w:val="singleLevel"/>
    <w:tmpl w:val="0407000F"/>
    <w:lvl w:ilvl="0">
      <w:start w:val="1"/>
      <w:numFmt w:val="decimal"/>
      <w:lvlText w:val="%1."/>
      <w:lvlJc w:val="left"/>
      <w:pPr>
        <w:tabs>
          <w:tab w:val="num" w:pos="360"/>
        </w:tabs>
        <w:ind w:left="360" w:hanging="360"/>
      </w:pPr>
      <w:rPr>
        <w:strike w:val="0"/>
        <w:dstrike w:val="0"/>
        <w:u w:val="none"/>
        <w:effect w:val="none"/>
      </w:rPr>
    </w:lvl>
  </w:abstractNum>
  <w:abstractNum w:abstractNumId="5">
    <w:nsid w:val="43236328"/>
    <w:multiLevelType w:val="hybridMultilevel"/>
    <w:tmpl w:val="8F3ED71E"/>
    <w:lvl w:ilvl="0" w:tplc="DB7CA74A">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6">
    <w:nsid w:val="678350A0"/>
    <w:multiLevelType w:val="hybridMultilevel"/>
    <w:tmpl w:val="6B0AF4A2"/>
    <w:lvl w:ilvl="0" w:tplc="042ED08C">
      <w:start w:val="1"/>
      <w:numFmt w:val="bullet"/>
      <w:lvlText w:val=""/>
      <w:lvlJc w:val="left"/>
      <w:pPr>
        <w:ind w:left="1146" w:hanging="360"/>
      </w:pPr>
      <w:rPr>
        <w:rFonts w:ascii="Symbol" w:hAnsi="Symbol" w:hint="default"/>
      </w:rPr>
    </w:lvl>
    <w:lvl w:ilvl="1" w:tplc="9D740866">
      <w:numFmt w:val="bullet"/>
      <w:lvlText w:val="-"/>
      <w:lvlJc w:val="left"/>
      <w:pPr>
        <w:ind w:left="2226" w:hanging="720"/>
      </w:pPr>
      <w:rPr>
        <w:rFonts w:ascii="Arial" w:eastAsia="Times New Roman" w:hAnsi="Arial" w:cs="Arial"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4"/>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47"/>
    <w:rsid w:val="00031F93"/>
    <w:rsid w:val="00044917"/>
    <w:rsid w:val="00105072"/>
    <w:rsid w:val="001143DD"/>
    <w:rsid w:val="0011737B"/>
    <w:rsid w:val="00136C1D"/>
    <w:rsid w:val="00140BB8"/>
    <w:rsid w:val="00165553"/>
    <w:rsid w:val="00183080"/>
    <w:rsid w:val="001C2467"/>
    <w:rsid w:val="001F44D3"/>
    <w:rsid w:val="00214D45"/>
    <w:rsid w:val="00217E40"/>
    <w:rsid w:val="00250834"/>
    <w:rsid w:val="00276647"/>
    <w:rsid w:val="00294C63"/>
    <w:rsid w:val="002A3EF4"/>
    <w:rsid w:val="002B6379"/>
    <w:rsid w:val="002C147A"/>
    <w:rsid w:val="002C262D"/>
    <w:rsid w:val="002D0B0F"/>
    <w:rsid w:val="002E0143"/>
    <w:rsid w:val="002F2A68"/>
    <w:rsid w:val="003019AB"/>
    <w:rsid w:val="00321507"/>
    <w:rsid w:val="00325936"/>
    <w:rsid w:val="00361F47"/>
    <w:rsid w:val="00366492"/>
    <w:rsid w:val="00384AE3"/>
    <w:rsid w:val="003A371D"/>
    <w:rsid w:val="00402334"/>
    <w:rsid w:val="00435BA5"/>
    <w:rsid w:val="004950D3"/>
    <w:rsid w:val="00495865"/>
    <w:rsid w:val="004C0D8F"/>
    <w:rsid w:val="004C5454"/>
    <w:rsid w:val="004F0731"/>
    <w:rsid w:val="004F1145"/>
    <w:rsid w:val="005556D9"/>
    <w:rsid w:val="005573EB"/>
    <w:rsid w:val="00570A81"/>
    <w:rsid w:val="00595982"/>
    <w:rsid w:val="005C34B6"/>
    <w:rsid w:val="005D1371"/>
    <w:rsid w:val="005E3423"/>
    <w:rsid w:val="00621AD8"/>
    <w:rsid w:val="00627745"/>
    <w:rsid w:val="00630078"/>
    <w:rsid w:val="00637D7A"/>
    <w:rsid w:val="00647FDF"/>
    <w:rsid w:val="00680E23"/>
    <w:rsid w:val="006D4BE8"/>
    <w:rsid w:val="006F72E5"/>
    <w:rsid w:val="00716F38"/>
    <w:rsid w:val="00753987"/>
    <w:rsid w:val="00760666"/>
    <w:rsid w:val="00762277"/>
    <w:rsid w:val="00767F22"/>
    <w:rsid w:val="0078015A"/>
    <w:rsid w:val="007B1882"/>
    <w:rsid w:val="007D11B3"/>
    <w:rsid w:val="008025BB"/>
    <w:rsid w:val="00825EA0"/>
    <w:rsid w:val="008726E7"/>
    <w:rsid w:val="00892C0B"/>
    <w:rsid w:val="00936525"/>
    <w:rsid w:val="00946D50"/>
    <w:rsid w:val="009F3E59"/>
    <w:rsid w:val="00A74F5C"/>
    <w:rsid w:val="00A77679"/>
    <w:rsid w:val="00A83365"/>
    <w:rsid w:val="00AC522E"/>
    <w:rsid w:val="00AD0C16"/>
    <w:rsid w:val="00B217C6"/>
    <w:rsid w:val="00B22238"/>
    <w:rsid w:val="00B82654"/>
    <w:rsid w:val="00B86ED2"/>
    <w:rsid w:val="00B9444A"/>
    <w:rsid w:val="00C27C46"/>
    <w:rsid w:val="00C63766"/>
    <w:rsid w:val="00C709F0"/>
    <w:rsid w:val="00C91AC1"/>
    <w:rsid w:val="00CA78E0"/>
    <w:rsid w:val="00CB0A96"/>
    <w:rsid w:val="00CC46B8"/>
    <w:rsid w:val="00CF6BB5"/>
    <w:rsid w:val="00D00F07"/>
    <w:rsid w:val="00D030EA"/>
    <w:rsid w:val="00D15CED"/>
    <w:rsid w:val="00D24C44"/>
    <w:rsid w:val="00D33BE0"/>
    <w:rsid w:val="00DC6C38"/>
    <w:rsid w:val="00DD3FCB"/>
    <w:rsid w:val="00DF4D98"/>
    <w:rsid w:val="00E437ED"/>
    <w:rsid w:val="00E65F7A"/>
    <w:rsid w:val="00F06B5F"/>
    <w:rsid w:val="00F11403"/>
    <w:rsid w:val="00F2362A"/>
    <w:rsid w:val="00F42724"/>
    <w:rsid w:val="00F54484"/>
    <w:rsid w:val="00F6177D"/>
    <w:rsid w:val="00F7227A"/>
    <w:rsid w:val="00FA2083"/>
    <w:rsid w:val="00FA33E9"/>
    <w:rsid w:val="00FC0DED"/>
    <w:rsid w:val="00FC3650"/>
    <w:rsid w:val="00FE69F3"/>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styleId="Sprechblasentext">
    <w:name w:val="Balloon Text"/>
    <w:basedOn w:val="Standard"/>
    <w:link w:val="SprechblasentextZchn"/>
    <w:rsid w:val="00825EA0"/>
    <w:rPr>
      <w:rFonts w:ascii="Tahoma" w:hAnsi="Tahoma" w:cs="Tahoma"/>
      <w:sz w:val="16"/>
      <w:szCs w:val="16"/>
    </w:rPr>
  </w:style>
  <w:style w:type="character" w:customStyle="1" w:styleId="SprechblasentextZchn">
    <w:name w:val="Sprechblasentext Zchn"/>
    <w:basedOn w:val="Absatz-Standardschriftart"/>
    <w:link w:val="Sprechblasentext"/>
    <w:rsid w:val="00825EA0"/>
    <w:rPr>
      <w:rFonts w:ascii="Tahoma" w:hAnsi="Tahoma" w:cs="Tahoma"/>
      <w:sz w:val="16"/>
      <w:szCs w:val="16"/>
      <w:lang w:val="de-DE" w:eastAsia="de-DE"/>
    </w:rPr>
  </w:style>
  <w:style w:type="paragraph" w:styleId="Listenabsatz">
    <w:name w:val="List Paragraph"/>
    <w:basedOn w:val="Standard"/>
    <w:uiPriority w:val="34"/>
    <w:qFormat/>
    <w:rsid w:val="00B86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styleId="Sprechblasentext">
    <w:name w:val="Balloon Text"/>
    <w:basedOn w:val="Standard"/>
    <w:link w:val="SprechblasentextZchn"/>
    <w:rsid w:val="00825EA0"/>
    <w:rPr>
      <w:rFonts w:ascii="Tahoma" w:hAnsi="Tahoma" w:cs="Tahoma"/>
      <w:sz w:val="16"/>
      <w:szCs w:val="16"/>
    </w:rPr>
  </w:style>
  <w:style w:type="character" w:customStyle="1" w:styleId="SprechblasentextZchn">
    <w:name w:val="Sprechblasentext Zchn"/>
    <w:basedOn w:val="Absatz-Standardschriftart"/>
    <w:link w:val="Sprechblasentext"/>
    <w:rsid w:val="00825EA0"/>
    <w:rPr>
      <w:rFonts w:ascii="Tahoma" w:hAnsi="Tahoma" w:cs="Tahoma"/>
      <w:sz w:val="16"/>
      <w:szCs w:val="16"/>
      <w:lang w:val="de-DE" w:eastAsia="de-DE"/>
    </w:rPr>
  </w:style>
  <w:style w:type="paragraph" w:styleId="Listenabsatz">
    <w:name w:val="List Paragraph"/>
    <w:basedOn w:val="Standard"/>
    <w:uiPriority w:val="34"/>
    <w:qFormat/>
    <w:rsid w:val="00B8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6463</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Herr</vt:lpstr>
      <vt:lpstr>Herr</vt:lpstr>
    </vt:vector>
  </TitlesOfParts>
  <Company>mesch</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Käch Barbara HSLU SA</cp:lastModifiedBy>
  <cp:revision>3</cp:revision>
  <cp:lastPrinted>2009-12-09T09:37:00Z</cp:lastPrinted>
  <dcterms:created xsi:type="dcterms:W3CDTF">2014-10-15T12:38:00Z</dcterms:created>
  <dcterms:modified xsi:type="dcterms:W3CDTF">2014-10-27T07:21:00Z</dcterms:modified>
</cp:coreProperties>
</file>